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8"/>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bCs/>
          <w:color w:val="auto"/>
          <w:sz w:val="40"/>
          <w:szCs w:val="40"/>
          <w:highlight w:val="none"/>
        </w:rPr>
      </w:pPr>
      <w:bookmarkStart w:id="0" w:name="_Toc5725"/>
      <w:bookmarkStart w:id="1" w:name="_Toc578"/>
      <w:bookmarkStart w:id="2" w:name="_Toc6478"/>
      <w:r>
        <w:rPr>
          <w:rFonts w:hint="eastAsia" w:ascii="宋体" w:hAnsi="宋体" w:eastAsia="宋体" w:cs="宋体"/>
          <w:b/>
          <w:bCs/>
          <w:color w:val="auto"/>
          <w:sz w:val="40"/>
          <w:szCs w:val="40"/>
          <w:highlight w:val="none"/>
        </w:rPr>
        <w:t>项目编号：</w:t>
      </w:r>
      <w:r>
        <w:rPr>
          <w:rFonts w:hint="eastAsia" w:ascii="宋体" w:hAnsi="宋体" w:eastAsia="宋体" w:cs="宋体"/>
          <w:b/>
          <w:bCs/>
          <w:color w:val="auto"/>
          <w:sz w:val="40"/>
          <w:szCs w:val="40"/>
          <w:highlight w:val="none"/>
        </w:rPr>
        <w:tab/>
      </w:r>
      <w:r>
        <w:rPr>
          <w:rFonts w:hint="eastAsia" w:ascii="宋体" w:hAnsi="宋体" w:eastAsia="宋体" w:cs="宋体"/>
          <w:b/>
          <w:bCs/>
          <w:color w:val="auto"/>
          <w:sz w:val="40"/>
          <w:szCs w:val="40"/>
          <w:highlight w:val="none"/>
        </w:rPr>
        <w:t xml:space="preserve">510101202100170 </w:t>
      </w:r>
    </w:p>
    <w:p>
      <w:pPr>
        <w:pStyle w:val="38"/>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40"/>
          <w:szCs w:val="40"/>
          <w:highlight w:val="none"/>
          <w:lang w:val="en-US" w:eastAsia="zh-CN"/>
        </w:rPr>
      </w:pPr>
      <w:r>
        <w:rPr>
          <w:rFonts w:hint="eastAsia" w:ascii="宋体" w:hAnsi="宋体" w:eastAsia="宋体" w:cs="宋体"/>
          <w:b/>
          <w:bCs/>
          <w:color w:val="auto"/>
          <w:sz w:val="40"/>
          <w:szCs w:val="40"/>
          <w:highlight w:val="none"/>
          <w:lang w:val="en-US" w:eastAsia="zh-CN"/>
        </w:rPr>
        <w:t>内部编号：ZCQXZB-2021-0195B</w:t>
      </w:r>
    </w:p>
    <w:p>
      <w:pPr>
        <w:pStyle w:val="38"/>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项目名称：</w:t>
      </w:r>
      <w:r>
        <w:rPr>
          <w:rFonts w:hint="eastAsia" w:ascii="宋体" w:hAnsi="宋体" w:eastAsia="宋体" w:cs="宋体"/>
          <w:b/>
          <w:bCs/>
          <w:color w:val="auto"/>
          <w:sz w:val="40"/>
          <w:szCs w:val="40"/>
          <w:highlight w:val="none"/>
          <w:lang w:val="en-US" w:eastAsia="zh-CN"/>
        </w:rPr>
        <w:t>成都市技师学院(成都工贸职业技术学院)2021年度纸质图书采购项目</w:t>
      </w:r>
      <w:r>
        <w:rPr>
          <w:rFonts w:hint="eastAsia" w:ascii="宋体" w:hAnsi="宋体" w:eastAsia="宋体" w:cs="宋体"/>
          <w:b/>
          <w:bCs/>
          <w:color w:val="auto"/>
          <w:sz w:val="40"/>
          <w:szCs w:val="40"/>
          <w:highlight w:val="none"/>
        </w:rPr>
        <w:t xml:space="preserve"> </w:t>
      </w:r>
    </w:p>
    <w:p>
      <w:pPr>
        <w:pStyle w:val="38"/>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招标文件</w:t>
      </w:r>
    </w:p>
    <w:p>
      <w:pPr>
        <w:pStyle w:val="3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中国·四川</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   购   人：</w:t>
      </w:r>
      <w:r>
        <w:rPr>
          <w:rFonts w:hint="eastAsia" w:ascii="宋体" w:hAnsi="宋体" w:eastAsia="宋体" w:cs="宋体"/>
          <w:b/>
          <w:bCs/>
          <w:color w:val="auto"/>
          <w:sz w:val="28"/>
          <w:szCs w:val="28"/>
          <w:highlight w:val="none"/>
          <w:lang w:eastAsia="zh-CN"/>
        </w:rPr>
        <w:t>成都市技师学院</w:t>
      </w:r>
      <w:r>
        <w:rPr>
          <w:rFonts w:hint="eastAsia" w:ascii="宋体" w:hAnsi="宋体" w:eastAsia="宋体" w:cs="宋体"/>
          <w:b/>
          <w:bCs/>
          <w:color w:val="auto"/>
          <w:sz w:val="28"/>
          <w:szCs w:val="28"/>
          <w:highlight w:val="none"/>
        </w:rPr>
        <w:t xml:space="preserve">         </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采购代理机构：四川乾新招投标代理有限公司</w:t>
      </w:r>
    </w:p>
    <w:p>
      <w:pPr>
        <w:pStyle w:val="38"/>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文  件 编 制：由采购人和</w:t>
      </w:r>
      <w:r>
        <w:rPr>
          <w:rFonts w:hint="eastAsia" w:ascii="宋体" w:hAnsi="宋体" w:eastAsia="宋体" w:cs="宋体"/>
          <w:b/>
          <w:bCs/>
          <w:color w:val="auto"/>
          <w:sz w:val="28"/>
          <w:szCs w:val="28"/>
          <w:highlight w:val="none"/>
        </w:rPr>
        <w:t>采购代理机构</w:t>
      </w:r>
      <w:r>
        <w:rPr>
          <w:rFonts w:hint="eastAsia" w:ascii="宋体" w:hAnsi="宋体" w:eastAsia="宋体" w:cs="宋体"/>
          <w:b/>
          <w:bCs/>
          <w:color w:val="auto"/>
          <w:sz w:val="28"/>
          <w:szCs w:val="28"/>
          <w:highlight w:val="none"/>
          <w:lang w:val="en-US" w:eastAsia="zh-CN"/>
        </w:rPr>
        <w:t>共同编制</w:t>
      </w:r>
    </w:p>
    <w:p>
      <w:pPr>
        <w:pStyle w:val="3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8"/>
          <w:szCs w:val="28"/>
          <w:highlight w:val="none"/>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宋体" w:hAnsi="宋体" w:eastAsia="宋体" w:cs="宋体"/>
          <w:b/>
          <w:bCs/>
          <w:color w:val="auto"/>
          <w:sz w:val="28"/>
          <w:szCs w:val="28"/>
          <w:highlight w:val="none"/>
          <w:lang w:eastAsia="zh-CN"/>
        </w:rPr>
        <w:t>二○二</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年</w:t>
      </w: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eastAsia="zh-CN"/>
        </w:rPr>
        <w:t>月</w:t>
      </w:r>
    </w:p>
    <w:p>
      <w:pPr>
        <w:pStyle w:val="3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40"/>
          <w:szCs w:val="40"/>
          <w:highlight w:val="none"/>
        </w:rPr>
      </w:pPr>
      <w:bookmarkStart w:id="3" w:name="_Toc452473646"/>
      <w:bookmarkStart w:id="4" w:name="_Toc502651262"/>
      <w:bookmarkStart w:id="5" w:name="_Toc371958974"/>
      <w:bookmarkStart w:id="6" w:name="_Toc373139265"/>
      <w:bookmarkStart w:id="7" w:name="_Toc372620750"/>
      <w:bookmarkStart w:id="8" w:name="_Toc336690878"/>
      <w:r>
        <w:rPr>
          <w:rFonts w:hint="eastAsia" w:ascii="宋体" w:hAnsi="宋体" w:eastAsia="宋体" w:cs="宋体"/>
          <w:b/>
          <w:bCs/>
          <w:color w:val="auto"/>
          <w:sz w:val="40"/>
          <w:szCs w:val="40"/>
          <w:highlight w:val="none"/>
          <w:lang w:val="en-US" w:eastAsia="zh-CN"/>
        </w:rPr>
        <w:t>政府采购</w:t>
      </w:r>
      <w:r>
        <w:rPr>
          <w:rFonts w:hint="eastAsia" w:ascii="宋体" w:hAnsi="宋体" w:eastAsia="宋体" w:cs="宋体"/>
          <w:b/>
          <w:bCs/>
          <w:color w:val="auto"/>
          <w:sz w:val="40"/>
          <w:szCs w:val="40"/>
          <w:highlight w:val="none"/>
        </w:rPr>
        <w:t>阳光宣言</w:t>
      </w:r>
      <w:bookmarkEnd w:id="3"/>
      <w:bookmarkEnd w:id="4"/>
    </w:p>
    <w:p>
      <w:pPr>
        <w:pStyle w:val="38"/>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四川乾新</w:t>
      </w:r>
      <w:r>
        <w:rPr>
          <w:rFonts w:hint="eastAsia" w:ascii="宋体" w:hAnsi="宋体" w:eastAsia="宋体" w:cs="宋体"/>
          <w:color w:val="auto"/>
          <w:highlight w:val="none"/>
        </w:rPr>
        <w:t>践行</w:t>
      </w:r>
      <w:r>
        <w:rPr>
          <w:rFonts w:hint="eastAsia" w:ascii="宋体" w:hAnsi="宋体" w:eastAsia="宋体" w:cs="宋体"/>
          <w:color w:val="auto"/>
          <w:highlight w:val="none"/>
          <w:lang w:val="en-US" w:eastAsia="zh-CN"/>
        </w:rPr>
        <w:t>公平竞争、</w:t>
      </w:r>
      <w:r>
        <w:rPr>
          <w:rFonts w:hint="eastAsia" w:ascii="宋体" w:hAnsi="宋体" w:eastAsia="宋体" w:cs="宋体"/>
          <w:color w:val="auto"/>
          <w:highlight w:val="none"/>
        </w:rPr>
        <w:t>诚信</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核心价值观，诚信于股东、诚信于</w:t>
      </w:r>
      <w:r>
        <w:rPr>
          <w:rFonts w:hint="eastAsia" w:ascii="宋体" w:hAnsi="宋体" w:eastAsia="宋体" w:cs="宋体"/>
          <w:color w:val="auto"/>
          <w:highlight w:val="none"/>
          <w:lang w:val="en-US" w:eastAsia="zh-CN"/>
        </w:rPr>
        <w:t>服务对象</w:t>
      </w:r>
      <w:r>
        <w:rPr>
          <w:rFonts w:hint="eastAsia" w:ascii="宋体" w:hAnsi="宋体" w:eastAsia="宋体" w:cs="宋体"/>
          <w:color w:val="auto"/>
          <w:highlight w:val="none"/>
        </w:rPr>
        <w:t>、诚信于员工、诚信于社会。</w:t>
      </w:r>
    </w:p>
    <w:p>
      <w:pPr>
        <w:pStyle w:val="38"/>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四川乾新全体</w:t>
      </w:r>
      <w:r>
        <w:rPr>
          <w:rFonts w:hint="eastAsia" w:ascii="宋体" w:hAnsi="宋体" w:eastAsia="宋体" w:cs="宋体"/>
          <w:color w:val="auto"/>
          <w:highlight w:val="none"/>
        </w:rPr>
        <w:t>员工严格遵守《</w:t>
      </w:r>
      <w:r>
        <w:rPr>
          <w:rFonts w:hint="eastAsia" w:ascii="宋体" w:hAnsi="宋体" w:eastAsia="宋体" w:cs="宋体"/>
          <w:color w:val="auto"/>
          <w:highlight w:val="none"/>
          <w:lang w:val="en-US" w:eastAsia="zh-CN"/>
        </w:rPr>
        <w:t>乾新</w:t>
      </w:r>
      <w:r>
        <w:rPr>
          <w:rFonts w:hint="eastAsia" w:ascii="宋体" w:hAnsi="宋体" w:eastAsia="宋体" w:cs="宋体"/>
          <w:color w:val="auto"/>
          <w:highlight w:val="none"/>
        </w:rPr>
        <w:t>十戒》和《员工廉洁从业规定》，遵纪守法，强化自律，廉洁从业，规范经营。</w:t>
      </w:r>
    </w:p>
    <w:p>
      <w:pPr>
        <w:pStyle w:val="38"/>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坚决维护国家利益和社会公共利益，</w:t>
      </w:r>
      <w:r>
        <w:rPr>
          <w:rFonts w:hint="eastAsia" w:ascii="宋体" w:hAnsi="宋体" w:eastAsia="宋体" w:cs="宋体"/>
          <w:color w:val="auto"/>
          <w:highlight w:val="none"/>
        </w:rPr>
        <w:t>严守商业道德，悉心维护</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和</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权益，开展公平竞争，努力提供优质、</w:t>
      </w:r>
      <w:r>
        <w:rPr>
          <w:rFonts w:hint="eastAsia" w:ascii="宋体" w:hAnsi="宋体" w:eastAsia="宋体" w:cs="宋体"/>
          <w:color w:val="auto"/>
          <w:highlight w:val="none"/>
          <w:lang w:val="en-US" w:eastAsia="zh-CN"/>
        </w:rPr>
        <w:t>细心</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专业的</w:t>
      </w:r>
      <w:r>
        <w:rPr>
          <w:rFonts w:hint="eastAsia" w:ascii="宋体" w:hAnsi="宋体" w:eastAsia="宋体" w:cs="宋体"/>
          <w:color w:val="auto"/>
          <w:highlight w:val="none"/>
        </w:rPr>
        <w:t>服务，为</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创造价值，与</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共同成长。坚持不懈反对“四风”，厉行节约，反对浪费，求真务实，克己奉公，精益求精，追求卓越，以出色的</w:t>
      </w:r>
      <w:r>
        <w:rPr>
          <w:rFonts w:hint="eastAsia" w:ascii="宋体" w:hAnsi="宋体" w:eastAsia="宋体" w:cs="宋体"/>
          <w:color w:val="auto"/>
          <w:highlight w:val="none"/>
          <w:lang w:val="en-US" w:eastAsia="zh-CN"/>
        </w:rPr>
        <w:t>效益</w:t>
      </w:r>
      <w:r>
        <w:rPr>
          <w:rFonts w:hint="eastAsia" w:ascii="宋体" w:hAnsi="宋体" w:eastAsia="宋体" w:cs="宋体"/>
          <w:color w:val="auto"/>
          <w:highlight w:val="none"/>
        </w:rPr>
        <w:t>回报股东，回报社会。</w:t>
      </w:r>
    </w:p>
    <w:p>
      <w:pPr>
        <w:pStyle w:val="38"/>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四川乾新</w:t>
      </w:r>
      <w:r>
        <w:rPr>
          <w:rFonts w:hint="eastAsia" w:ascii="宋体" w:hAnsi="宋体" w:eastAsia="宋体" w:cs="宋体"/>
          <w:color w:val="auto"/>
          <w:highlight w:val="none"/>
        </w:rPr>
        <w:t>与</w:t>
      </w:r>
      <w:r>
        <w:rPr>
          <w:rFonts w:hint="eastAsia" w:ascii="宋体" w:hAnsi="宋体" w:eastAsia="宋体" w:cs="宋体"/>
          <w:color w:val="auto"/>
          <w:highlight w:val="none"/>
          <w:lang w:val="en-US" w:eastAsia="zh-CN"/>
        </w:rPr>
        <w:t>服务对象</w:t>
      </w:r>
      <w:r>
        <w:rPr>
          <w:rFonts w:hint="eastAsia" w:ascii="宋体" w:hAnsi="宋体" w:eastAsia="宋体" w:cs="宋体"/>
          <w:color w:val="auto"/>
          <w:highlight w:val="none"/>
        </w:rPr>
        <w:t>之间是简单的</w:t>
      </w:r>
      <w:r>
        <w:rPr>
          <w:rFonts w:hint="eastAsia" w:ascii="宋体" w:hAnsi="宋体" w:eastAsia="宋体" w:cs="宋体"/>
          <w:color w:val="auto"/>
          <w:highlight w:val="none"/>
          <w:lang w:val="en-US" w:eastAsia="zh-CN"/>
        </w:rPr>
        <w:t>政企、企事业、</w:t>
      </w:r>
      <w:r>
        <w:rPr>
          <w:rFonts w:hint="eastAsia" w:ascii="宋体" w:hAnsi="宋体" w:eastAsia="宋体" w:cs="宋体"/>
          <w:color w:val="auto"/>
          <w:highlight w:val="none"/>
        </w:rPr>
        <w:t>企业</w:t>
      </w:r>
      <w:r>
        <w:rPr>
          <w:rFonts w:hint="eastAsia" w:ascii="宋体" w:hAnsi="宋体" w:eastAsia="宋体" w:cs="宋体"/>
          <w:color w:val="auto"/>
          <w:highlight w:val="none"/>
          <w:lang w:val="en-US" w:eastAsia="zh-CN"/>
        </w:rPr>
        <w:t>与企业</w:t>
      </w:r>
      <w:r>
        <w:rPr>
          <w:rFonts w:hint="eastAsia" w:ascii="宋体" w:hAnsi="宋体" w:eastAsia="宋体" w:cs="宋体"/>
          <w:color w:val="auto"/>
          <w:highlight w:val="none"/>
        </w:rPr>
        <w:t>之间的</w:t>
      </w:r>
      <w:r>
        <w:rPr>
          <w:rFonts w:hint="eastAsia" w:ascii="宋体" w:hAnsi="宋体" w:eastAsia="宋体" w:cs="宋体"/>
          <w:color w:val="auto"/>
          <w:highlight w:val="none"/>
          <w:lang w:val="en-US" w:eastAsia="zh-CN"/>
        </w:rPr>
        <w:t>关系</w:t>
      </w:r>
      <w:r>
        <w:rPr>
          <w:rFonts w:hint="eastAsia" w:ascii="宋体" w:hAnsi="宋体" w:eastAsia="宋体" w:cs="宋体"/>
          <w:color w:val="auto"/>
          <w:highlight w:val="none"/>
        </w:rPr>
        <w:t>，不存在个人利益动机。</w:t>
      </w:r>
      <w:r>
        <w:rPr>
          <w:rFonts w:hint="eastAsia" w:ascii="宋体" w:hAnsi="宋体" w:eastAsia="宋体" w:cs="宋体"/>
          <w:color w:val="auto"/>
          <w:highlight w:val="none"/>
          <w:lang w:val="en-US" w:eastAsia="zh-CN"/>
        </w:rPr>
        <w:t>四川乾新</w:t>
      </w:r>
      <w:r>
        <w:rPr>
          <w:rFonts w:hint="eastAsia" w:ascii="宋体" w:hAnsi="宋体" w:eastAsia="宋体" w:cs="宋体"/>
          <w:color w:val="auto"/>
          <w:highlight w:val="none"/>
        </w:rPr>
        <w:t>员工追逐阳光下的公司利润和个人价值，以廉为荣、以贪为耻，忠于职责，恪守《员工廉洁从业规定》。倡导遵守以下行为准则：</w:t>
      </w:r>
    </w:p>
    <w:p>
      <w:pPr>
        <w:pStyle w:val="39"/>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四川乾新</w:t>
      </w:r>
      <w:r>
        <w:rPr>
          <w:rFonts w:hint="eastAsia" w:ascii="宋体" w:hAnsi="宋体" w:eastAsia="宋体" w:cs="宋体"/>
          <w:color w:val="auto"/>
          <w:highlight w:val="none"/>
        </w:rPr>
        <w:t>不以向</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及其亲属提供任何个人利益的方式谋求合作关系；</w:t>
      </w:r>
    </w:p>
    <w:p>
      <w:pPr>
        <w:pStyle w:val="3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四川乾新</w:t>
      </w:r>
      <w:r>
        <w:rPr>
          <w:rFonts w:hint="eastAsia" w:ascii="宋体" w:hAnsi="宋体" w:eastAsia="宋体" w:cs="宋体"/>
          <w:color w:val="auto"/>
          <w:highlight w:val="none"/>
        </w:rPr>
        <w:t xml:space="preserve">不迷信任何实际存在的或虚构的所谓关系； </w:t>
      </w:r>
    </w:p>
    <w:p>
      <w:pPr>
        <w:pStyle w:val="39"/>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四川乾新</w:t>
      </w:r>
      <w:r>
        <w:rPr>
          <w:rFonts w:hint="eastAsia" w:ascii="宋体" w:hAnsi="宋体" w:eastAsia="宋体" w:cs="宋体"/>
          <w:color w:val="auto"/>
          <w:highlight w:val="none"/>
        </w:rPr>
        <w:t>不采取恶性竞争等不正当手段竞争业务</w:t>
      </w:r>
      <w:r>
        <w:rPr>
          <w:rFonts w:hint="eastAsia" w:ascii="宋体" w:hAnsi="宋体" w:eastAsia="宋体" w:cs="宋体"/>
          <w:color w:val="auto"/>
          <w:highlight w:val="none"/>
          <w:lang w:eastAsia="zh-CN"/>
        </w:rPr>
        <w:t>；</w:t>
      </w:r>
    </w:p>
    <w:p>
      <w:pPr>
        <w:pStyle w:val="3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四川乾新</w:t>
      </w:r>
      <w:r>
        <w:rPr>
          <w:rFonts w:hint="eastAsia" w:ascii="宋体" w:hAnsi="宋体" w:eastAsia="宋体" w:cs="宋体"/>
          <w:color w:val="auto"/>
          <w:highlight w:val="none"/>
        </w:rPr>
        <w:t>不向</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提供好处费、回扣、现金及有价证券、支付凭证、贵重礼物；</w:t>
      </w:r>
    </w:p>
    <w:p>
      <w:pPr>
        <w:pStyle w:val="3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四川乾新</w:t>
      </w:r>
      <w:r>
        <w:rPr>
          <w:rFonts w:hint="eastAsia" w:ascii="宋体" w:hAnsi="宋体" w:eastAsia="宋体" w:cs="宋体"/>
          <w:color w:val="auto"/>
          <w:highlight w:val="none"/>
        </w:rPr>
        <w:t>不给</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及其亲属报销任何费用；不向</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及其亲属提供住房、交通工具、通讯工具、家电、高档办公用品等物品；不向</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及其亲属的家庭装修、婚丧嫁娶、工作安排、出国、留学等提供资金及物资的资助；</w:t>
      </w:r>
    </w:p>
    <w:p>
      <w:pPr>
        <w:pStyle w:val="3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供应商在参与项目时公平竞争，充分发挥市场主体作用，降低采购成本，节约采购资金；</w:t>
      </w:r>
    </w:p>
    <w:p>
      <w:pPr>
        <w:pStyle w:val="3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四川乾新</w:t>
      </w:r>
      <w:r>
        <w:rPr>
          <w:rFonts w:hint="eastAsia" w:ascii="宋体" w:hAnsi="宋体" w:eastAsia="宋体" w:cs="宋体"/>
          <w:color w:val="auto"/>
          <w:highlight w:val="none"/>
        </w:rPr>
        <w:t>不与</w:t>
      </w:r>
      <w:r>
        <w:rPr>
          <w:rFonts w:hint="eastAsia" w:ascii="宋体" w:hAnsi="宋体" w:eastAsia="宋体" w:cs="宋体"/>
          <w:color w:val="auto"/>
          <w:highlight w:val="none"/>
          <w:lang w:val="en-US" w:eastAsia="zh-CN"/>
        </w:rPr>
        <w:t>采购人、供应商</w:t>
      </w:r>
      <w:r>
        <w:rPr>
          <w:rFonts w:hint="eastAsia" w:ascii="宋体" w:hAnsi="宋体" w:eastAsia="宋体" w:cs="宋体"/>
          <w:color w:val="auto"/>
          <w:highlight w:val="none"/>
        </w:rPr>
        <w:t>串通投标；</w:t>
      </w:r>
    </w:p>
    <w:p>
      <w:pPr>
        <w:pStyle w:val="3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四川乾新、采购人</w:t>
      </w:r>
      <w:r>
        <w:rPr>
          <w:rFonts w:hint="eastAsia" w:ascii="宋体" w:hAnsi="宋体" w:eastAsia="宋体" w:cs="宋体"/>
          <w:color w:val="auto"/>
          <w:highlight w:val="none"/>
        </w:rPr>
        <w:t>不与</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就标底、其他单位的投标书等商业秘密及合同中的质量、价格、验收等条款进行私下商谈或者达成默契；</w:t>
      </w:r>
    </w:p>
    <w:p>
      <w:pPr>
        <w:pStyle w:val="3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四川乾新坚决杜绝以下行为：①乾新员工</w:t>
      </w:r>
      <w:r>
        <w:rPr>
          <w:rFonts w:hint="eastAsia" w:ascii="宋体" w:hAnsi="宋体" w:eastAsia="宋体" w:cs="宋体"/>
          <w:color w:val="auto"/>
          <w:highlight w:val="none"/>
        </w:rPr>
        <w:t>有行贿倾向、建议</w:t>
      </w:r>
      <w:r>
        <w:rPr>
          <w:rFonts w:hint="eastAsia" w:ascii="宋体" w:hAnsi="宋体" w:eastAsia="宋体" w:cs="宋体"/>
          <w:color w:val="auto"/>
          <w:highlight w:val="none"/>
          <w:lang w:val="en-US" w:eastAsia="zh-CN"/>
        </w:rPr>
        <w:t>等行为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②乾新</w:t>
      </w:r>
      <w:r>
        <w:rPr>
          <w:rFonts w:hint="eastAsia" w:ascii="宋体" w:hAnsi="宋体" w:eastAsia="宋体" w:cs="宋体"/>
          <w:color w:val="auto"/>
          <w:highlight w:val="none"/>
        </w:rPr>
        <w:t>员工有索贿、受贿</w:t>
      </w:r>
      <w:r>
        <w:rPr>
          <w:rFonts w:hint="eastAsia" w:ascii="宋体" w:hAnsi="宋体" w:eastAsia="宋体" w:cs="宋体"/>
          <w:color w:val="auto"/>
          <w:highlight w:val="none"/>
          <w:lang w:val="en-US" w:eastAsia="zh-CN"/>
        </w:rPr>
        <w:t>等行为</w:t>
      </w:r>
      <w:r>
        <w:rPr>
          <w:rFonts w:hint="eastAsia" w:ascii="宋体" w:hAnsi="宋体" w:eastAsia="宋体" w:cs="宋体"/>
          <w:color w:val="auto"/>
          <w:highlight w:val="none"/>
        </w:rPr>
        <w:t>。</w:t>
      </w:r>
    </w:p>
    <w:p>
      <w:pPr>
        <w:pStyle w:val="38"/>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如出现违反宣言的行为，</w:t>
      </w:r>
      <w:r>
        <w:rPr>
          <w:rFonts w:hint="eastAsia" w:ascii="宋体" w:hAnsi="宋体" w:eastAsia="宋体" w:cs="宋体"/>
          <w:color w:val="auto"/>
          <w:highlight w:val="none"/>
          <w:lang w:val="en-US" w:eastAsia="zh-CN"/>
        </w:rPr>
        <w:t>请及时向四川乾新</w:t>
      </w:r>
      <w:r>
        <w:rPr>
          <w:rFonts w:hint="eastAsia" w:ascii="宋体" w:hAnsi="宋体" w:eastAsia="宋体" w:cs="宋体"/>
          <w:color w:val="auto"/>
          <w:highlight w:val="none"/>
        </w:rPr>
        <w:t>监察部投诉</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举报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经核查属实的，</w:t>
      </w:r>
      <w:r>
        <w:rPr>
          <w:rFonts w:hint="eastAsia" w:ascii="宋体" w:hAnsi="宋体" w:eastAsia="宋体" w:cs="宋体"/>
          <w:color w:val="auto"/>
          <w:highlight w:val="none"/>
          <w:lang w:val="en-US" w:eastAsia="zh-CN"/>
        </w:rPr>
        <w:t>严格按照公司规定处理，涉及违法违纪的将追究相关法律责任</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请各采购人及供应商积极</w:t>
      </w:r>
      <w:r>
        <w:rPr>
          <w:rFonts w:hint="eastAsia" w:ascii="宋体" w:hAnsi="宋体" w:eastAsia="宋体" w:cs="宋体"/>
          <w:color w:val="auto"/>
          <w:highlight w:val="none"/>
        </w:rPr>
        <w:t>宣传本宣言，了解并自觉践行宣言，共同营造</w:t>
      </w:r>
      <w:r>
        <w:rPr>
          <w:rFonts w:hint="eastAsia" w:ascii="宋体" w:hAnsi="宋体" w:eastAsia="宋体" w:cs="宋体"/>
          <w:color w:val="auto"/>
          <w:highlight w:val="none"/>
          <w:lang w:val="en-US" w:eastAsia="zh-CN"/>
        </w:rPr>
        <w:t>廉洁</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公正、诚实信用</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政采环境</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共同推动政府采购阳光公开</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p>
    <w:p>
      <w:pPr>
        <w:pStyle w:val="38"/>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监察部投诉及举报邮箱：</w:t>
      </w:r>
      <w:r>
        <w:rPr>
          <w:rFonts w:hint="eastAsia" w:ascii="宋体" w:hAnsi="宋体" w:eastAsia="宋体" w:cs="宋体"/>
          <w:color w:val="auto"/>
          <w:highlight w:val="none"/>
          <w:lang w:val="en-US" w:eastAsia="zh-CN"/>
        </w:rPr>
        <w:t>scqxzb_shl@163.com</w:t>
      </w:r>
    </w:p>
    <w:p>
      <w:pPr>
        <w:pStyle w:val="38"/>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color w:val="auto"/>
          <w:highlight w:val="none"/>
          <w:lang w:val="en-US" w:eastAsia="zh-CN"/>
        </w:rPr>
        <w:t>监察部投诉及举报电话：028-62630990</w:t>
      </w:r>
      <w:bookmarkEnd w:id="5"/>
      <w:bookmarkEnd w:id="6"/>
      <w:bookmarkEnd w:id="7"/>
      <w:bookmarkEnd w:id="8"/>
    </w:p>
    <w:p>
      <w:pPr>
        <w:pStyle w:val="38"/>
        <w:bidi w:val="0"/>
        <w:jc w:val="center"/>
        <w:rPr>
          <w:rFonts w:hint="eastAsia" w:ascii="宋体" w:hAnsi="宋体" w:eastAsia="宋体" w:cs="宋体"/>
          <w:color w:val="auto"/>
          <w:highlight w:val="none"/>
        </w:rPr>
      </w:pPr>
      <w:r>
        <w:rPr>
          <w:rFonts w:hint="eastAsia" w:ascii="宋体" w:hAnsi="宋体" w:eastAsia="宋体" w:cs="宋体"/>
          <w:color w:val="auto"/>
          <w:highlight w:val="none"/>
        </w:rPr>
        <w:t>目  录</w:t>
      </w:r>
      <w:bookmarkEnd w:id="0"/>
      <w:bookmarkEnd w:id="1"/>
    </w:p>
    <w:p>
      <w:pPr>
        <w:pStyle w:val="16"/>
        <w:tabs>
          <w:tab w:val="clear" w:pos="0"/>
        </w:tabs>
        <w:rPr>
          <w:color w:val="auto"/>
          <w:highlight w:val="none"/>
        </w:rPr>
      </w:pPr>
      <w:bookmarkStart w:id="9" w:name="_Toc15794"/>
      <w:bookmarkStart w:id="10" w:name="_Toc26242"/>
      <w:bookmarkStart w:id="11" w:name="_Toc28748"/>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投标邀请</w:t>
      </w:r>
      <w:r>
        <w:rPr>
          <w:color w:val="auto"/>
          <w:highlight w:val="none"/>
        </w:rPr>
        <w:tab/>
      </w:r>
      <w:r>
        <w:rPr>
          <w:color w:val="auto"/>
          <w:highlight w:val="none"/>
        </w:rPr>
        <w:fldChar w:fldCharType="begin"/>
      </w:r>
      <w:r>
        <w:rPr>
          <w:color w:val="auto"/>
          <w:highlight w:val="none"/>
        </w:rPr>
        <w:instrText xml:space="preserve"> PAGEREF _Toc10676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highlight w:val="none"/>
        </w:rPr>
        <w:fldChar w:fldCharType="end"/>
      </w:r>
    </w:p>
    <w:p>
      <w:pPr>
        <w:pStyle w:val="16"/>
        <w:tabs>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_Toc9314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第二章 投标人须知</w:t>
      </w:r>
      <w:r>
        <w:rPr>
          <w:color w:val="auto"/>
          <w:highlight w:val="none"/>
        </w:rPr>
        <w:tab/>
      </w:r>
      <w:r>
        <w:rPr>
          <w:color w:val="auto"/>
          <w:highlight w:val="none"/>
        </w:rPr>
        <w:fldChar w:fldCharType="begin"/>
      </w:r>
      <w:r>
        <w:rPr>
          <w:color w:val="auto"/>
          <w:highlight w:val="none"/>
        </w:rPr>
        <w:instrText xml:space="preserve"> PAGEREF _Toc9314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_Toc13668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投标人须知</w:t>
      </w:r>
      <w:r>
        <w:rPr>
          <w:rFonts w:hint="eastAsia" w:ascii="宋体" w:hAnsi="宋体" w:eastAsia="宋体" w:cs="宋体"/>
          <w:color w:val="auto"/>
          <w:highlight w:val="none"/>
          <w:lang w:val="en-US" w:eastAsia="zh-CN"/>
        </w:rPr>
        <w:t>前</w:t>
      </w:r>
      <w:r>
        <w:rPr>
          <w:rFonts w:hint="eastAsia" w:ascii="宋体" w:hAnsi="宋体" w:eastAsia="宋体" w:cs="宋体"/>
          <w:color w:val="auto"/>
          <w:highlight w:val="none"/>
        </w:rPr>
        <w:t>附表</w:t>
      </w:r>
      <w:r>
        <w:rPr>
          <w:color w:val="auto"/>
          <w:highlight w:val="none"/>
        </w:rPr>
        <w:tab/>
      </w:r>
      <w:r>
        <w:rPr>
          <w:color w:val="auto"/>
          <w:highlight w:val="none"/>
        </w:rPr>
        <w:fldChar w:fldCharType="begin"/>
      </w:r>
      <w:r>
        <w:rPr>
          <w:color w:val="auto"/>
          <w:highlight w:val="none"/>
        </w:rPr>
        <w:instrText xml:space="preserve"> PAGEREF _Toc13668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_Toc18793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总 则</w:t>
      </w:r>
      <w:r>
        <w:rPr>
          <w:color w:val="auto"/>
          <w:highlight w:val="none"/>
        </w:rPr>
        <w:tab/>
      </w:r>
      <w:r>
        <w:rPr>
          <w:color w:val="auto"/>
          <w:highlight w:val="none"/>
        </w:rPr>
        <w:fldChar w:fldCharType="begin"/>
      </w:r>
      <w:r>
        <w:rPr>
          <w:color w:val="auto"/>
          <w:highlight w:val="none"/>
        </w:rPr>
        <w:instrText xml:space="preserve"> PAGEREF _Toc18793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适用范围</w:t>
      </w:r>
      <w:r>
        <w:rPr>
          <w:color w:val="auto"/>
          <w:highlight w:val="none"/>
        </w:rPr>
        <w:tab/>
      </w:r>
      <w:r>
        <w:rPr>
          <w:color w:val="auto"/>
          <w:highlight w:val="none"/>
        </w:rPr>
        <w:fldChar w:fldCharType="begin"/>
      </w:r>
      <w:r>
        <w:rPr>
          <w:color w:val="auto"/>
          <w:highlight w:val="none"/>
        </w:rPr>
        <w:instrText xml:space="preserve"> PAGEREF _Toc6574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_Toc8086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有关定义</w:t>
      </w:r>
      <w:r>
        <w:rPr>
          <w:color w:val="auto"/>
          <w:highlight w:val="none"/>
        </w:rPr>
        <w:tab/>
      </w:r>
      <w:r>
        <w:rPr>
          <w:color w:val="auto"/>
          <w:highlight w:val="none"/>
        </w:rPr>
        <w:fldChar w:fldCharType="begin"/>
      </w:r>
      <w:r>
        <w:rPr>
          <w:color w:val="auto"/>
          <w:highlight w:val="none"/>
        </w:rPr>
        <w:instrText xml:space="preserve"> PAGEREF _Toc8086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_Toc5803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 合格的投标人</w:t>
      </w:r>
      <w:r>
        <w:rPr>
          <w:rFonts w:hint="eastAsia" w:ascii="宋体" w:hAnsi="宋体" w:eastAsia="宋体" w:cs="宋体"/>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_Toc5803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_Toc4150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 投标费用</w:t>
      </w:r>
      <w:r>
        <w:rPr>
          <w:rFonts w:hint="eastAsia" w:ascii="宋体" w:hAnsi="宋体" w:eastAsia="宋体" w:cs="宋体"/>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_Toc4150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_Toc23461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 充分、公平竞争保障措施</w:t>
      </w:r>
      <w:r>
        <w:rPr>
          <w:rFonts w:hint="eastAsia" w:ascii="宋体" w:hAnsi="宋体" w:eastAsia="宋体" w:cs="宋体"/>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_Toc23461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 招标文件</w:t>
      </w:r>
      <w:r>
        <w:rPr>
          <w:color w:val="auto"/>
          <w:highlight w:val="none"/>
        </w:rPr>
        <w:tab/>
      </w:r>
      <w:r>
        <w:rPr>
          <w:color w:val="auto"/>
          <w:highlight w:val="none"/>
        </w:rPr>
        <w:fldChar w:fldCharType="begin"/>
      </w:r>
      <w:r>
        <w:rPr>
          <w:color w:val="auto"/>
          <w:highlight w:val="none"/>
        </w:rPr>
        <w:instrText xml:space="preserve"> PAGEREF _Toc5076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_Toc5057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招标文件的构成</w:t>
      </w:r>
      <w:r>
        <w:rPr>
          <w:color w:val="auto"/>
          <w:highlight w:val="none"/>
        </w:rPr>
        <w:tab/>
      </w:r>
      <w:r>
        <w:rPr>
          <w:color w:val="auto"/>
          <w:highlight w:val="none"/>
        </w:rPr>
        <w:fldChar w:fldCharType="begin"/>
      </w:r>
      <w:r>
        <w:rPr>
          <w:color w:val="auto"/>
          <w:highlight w:val="none"/>
        </w:rPr>
        <w:instrText xml:space="preserve"> PAGEREF _Toc5057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_Toc29376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招标文件的澄清和修改</w:t>
      </w:r>
      <w:r>
        <w:rPr>
          <w:color w:val="auto"/>
          <w:highlight w:val="none"/>
        </w:rPr>
        <w:tab/>
      </w:r>
      <w:r>
        <w:rPr>
          <w:color w:val="auto"/>
          <w:highlight w:val="none"/>
        </w:rPr>
        <w:fldChar w:fldCharType="begin"/>
      </w:r>
      <w:r>
        <w:rPr>
          <w:color w:val="auto"/>
          <w:highlight w:val="none"/>
        </w:rPr>
        <w:instrText xml:space="preserve"> PAGEREF _Toc29376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_Toc28894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 答疑会和现场考察</w:t>
      </w:r>
      <w:r>
        <w:rPr>
          <w:color w:val="auto"/>
          <w:highlight w:val="none"/>
        </w:rPr>
        <w:tab/>
      </w:r>
      <w:r>
        <w:rPr>
          <w:color w:val="auto"/>
          <w:highlight w:val="none"/>
        </w:rPr>
        <w:fldChar w:fldCharType="begin"/>
      </w:r>
      <w:r>
        <w:rPr>
          <w:color w:val="auto"/>
          <w:highlight w:val="none"/>
        </w:rPr>
        <w:instrText xml:space="preserve"> PAGEREF _Toc28894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_Toc16099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 投标文件</w:t>
      </w:r>
      <w:r>
        <w:rPr>
          <w:color w:val="auto"/>
          <w:highlight w:val="none"/>
        </w:rPr>
        <w:tab/>
      </w:r>
      <w:r>
        <w:rPr>
          <w:color w:val="auto"/>
          <w:highlight w:val="none"/>
        </w:rPr>
        <w:fldChar w:fldCharType="begin"/>
      </w:r>
      <w:r>
        <w:rPr>
          <w:color w:val="auto"/>
          <w:highlight w:val="none"/>
        </w:rPr>
        <w:instrText xml:space="preserve"> PAGEREF _Toc16099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_Toc28324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投标文件的语言</w:t>
      </w:r>
      <w:r>
        <w:rPr>
          <w:rFonts w:hint="eastAsia" w:ascii="宋体" w:hAnsi="宋体" w:eastAsia="宋体" w:cs="宋体"/>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_Toc28324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_Toc5846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计量单位</w:t>
      </w:r>
      <w:r>
        <w:rPr>
          <w:rFonts w:hint="eastAsia" w:ascii="宋体" w:hAnsi="宋体" w:eastAsia="宋体" w:cs="宋体"/>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_Toc5846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_Toc9946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eastAsia="zh-CN"/>
        </w:rPr>
        <w:t xml:space="preserve">(三) </w:t>
      </w:r>
      <w:r>
        <w:rPr>
          <w:rFonts w:hint="eastAsia" w:ascii="宋体" w:hAnsi="宋体" w:eastAsia="宋体" w:cs="宋体"/>
          <w:color w:val="auto"/>
          <w:highlight w:val="none"/>
        </w:rPr>
        <w:t>联合体投标</w:t>
      </w:r>
      <w:r>
        <w:rPr>
          <w:rFonts w:hint="eastAsia" w:ascii="宋体" w:hAnsi="宋体" w:eastAsia="宋体" w:cs="宋体"/>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_Toc9946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_Toc6500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 知识产权</w:t>
      </w:r>
      <w:r>
        <w:rPr>
          <w:rFonts w:hint="eastAsia" w:ascii="宋体" w:hAnsi="宋体" w:eastAsia="宋体" w:cs="宋体"/>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_Toc6500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 投标文件的组成</w:t>
      </w:r>
      <w:r>
        <w:rPr>
          <w:color w:val="auto"/>
          <w:highlight w:val="none"/>
        </w:rPr>
        <w:tab/>
      </w:r>
      <w:r>
        <w:rPr>
          <w:color w:val="auto"/>
          <w:highlight w:val="none"/>
        </w:rPr>
        <w:fldChar w:fldCharType="begin"/>
      </w:r>
      <w:r>
        <w:rPr>
          <w:color w:val="auto"/>
          <w:highlight w:val="none"/>
        </w:rPr>
        <w:instrText xml:space="preserve"> PAGEREF _Toc57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_Toc24012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 投标文件格式</w:t>
      </w:r>
      <w:r>
        <w:rPr>
          <w:color w:val="auto"/>
          <w:highlight w:val="none"/>
        </w:rPr>
        <w:tab/>
      </w:r>
      <w:r>
        <w:rPr>
          <w:color w:val="auto"/>
          <w:highlight w:val="none"/>
        </w:rPr>
        <w:fldChar w:fldCharType="begin"/>
      </w:r>
      <w:r>
        <w:rPr>
          <w:color w:val="auto"/>
          <w:highlight w:val="none"/>
        </w:rPr>
        <w:instrText xml:space="preserve"> PAGEREF _Toc24012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_Toc26253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(七) 投标保证金</w:t>
      </w:r>
      <w:r>
        <w:rPr>
          <w:color w:val="auto"/>
          <w:highlight w:val="none"/>
        </w:rPr>
        <w:tab/>
      </w:r>
      <w:r>
        <w:rPr>
          <w:color w:val="auto"/>
          <w:highlight w:val="none"/>
        </w:rPr>
        <w:fldChar w:fldCharType="begin"/>
      </w:r>
      <w:r>
        <w:rPr>
          <w:color w:val="auto"/>
          <w:highlight w:val="none"/>
        </w:rPr>
        <w:instrText xml:space="preserve"> PAGEREF _Toc26253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_Toc8397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(八) 投标有效期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实质性要求</w:t>
      </w:r>
      <w:r>
        <w:rPr>
          <w:rFonts w:hint="eastAsia" w:ascii="宋体" w:hAnsi="宋体" w:eastAsia="宋体" w:cs="宋体"/>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_Toc8397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(九) 投标文件的印制和签署</w:t>
      </w:r>
      <w:r>
        <w:rPr>
          <w:color w:val="auto"/>
          <w:highlight w:val="none"/>
        </w:rPr>
        <w:tab/>
      </w:r>
      <w:r>
        <w:rPr>
          <w:color w:val="auto"/>
          <w:highlight w:val="none"/>
        </w:rPr>
        <w:fldChar w:fldCharType="begin"/>
      </w:r>
      <w:r>
        <w:rPr>
          <w:color w:val="auto"/>
          <w:highlight w:val="none"/>
        </w:rPr>
        <w:instrText xml:space="preserve"> PAGEREF _Toc2483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_Toc2175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 投标文件的密封和标注</w:t>
      </w:r>
      <w:r>
        <w:rPr>
          <w:color w:val="auto"/>
          <w:highlight w:val="none"/>
        </w:rPr>
        <w:tab/>
      </w:r>
      <w:r>
        <w:rPr>
          <w:color w:val="auto"/>
          <w:highlight w:val="none"/>
        </w:rPr>
        <w:fldChar w:fldCharType="begin"/>
      </w:r>
      <w:r>
        <w:rPr>
          <w:color w:val="auto"/>
          <w:highlight w:val="none"/>
        </w:rPr>
        <w:instrText xml:space="preserve"> PAGEREF _Toc2175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_Toc7756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(十一) 投标文件的递交</w:t>
      </w:r>
      <w:r>
        <w:rPr>
          <w:color w:val="auto"/>
          <w:highlight w:val="none"/>
        </w:rPr>
        <w:tab/>
      </w:r>
      <w:r>
        <w:rPr>
          <w:color w:val="auto"/>
          <w:highlight w:val="none"/>
        </w:rPr>
        <w:fldChar w:fldCharType="begin"/>
      </w:r>
      <w:r>
        <w:rPr>
          <w:color w:val="auto"/>
          <w:highlight w:val="none"/>
        </w:rPr>
        <w:instrText xml:space="preserve"> PAGEREF _Toc7756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_Toc10822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(十二) 投标文件的修改和撤回</w:t>
      </w:r>
      <w:r>
        <w:rPr>
          <w:color w:val="auto"/>
          <w:highlight w:val="none"/>
        </w:rPr>
        <w:tab/>
      </w:r>
      <w:r>
        <w:rPr>
          <w:color w:val="auto"/>
          <w:highlight w:val="none"/>
        </w:rPr>
        <w:fldChar w:fldCharType="begin"/>
      </w:r>
      <w:r>
        <w:rPr>
          <w:color w:val="auto"/>
          <w:highlight w:val="none"/>
        </w:rPr>
        <w:instrText xml:space="preserve"> PAGEREF _Toc10822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_Toc21097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 开标和中标</w:t>
      </w:r>
      <w:r>
        <w:rPr>
          <w:color w:val="auto"/>
          <w:highlight w:val="none"/>
        </w:rPr>
        <w:tab/>
      </w:r>
      <w:r>
        <w:rPr>
          <w:color w:val="auto"/>
          <w:highlight w:val="none"/>
        </w:rPr>
        <w:fldChar w:fldCharType="begin"/>
      </w:r>
      <w:r>
        <w:rPr>
          <w:color w:val="auto"/>
          <w:highlight w:val="none"/>
        </w:rPr>
        <w:instrText xml:space="preserve"> PAGEREF _Toc21097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_Toc6457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开标</w:t>
      </w:r>
      <w:r>
        <w:rPr>
          <w:color w:val="auto"/>
          <w:highlight w:val="none"/>
        </w:rPr>
        <w:tab/>
      </w:r>
      <w:r>
        <w:rPr>
          <w:color w:val="auto"/>
          <w:highlight w:val="none"/>
        </w:rPr>
        <w:fldChar w:fldCharType="begin"/>
      </w:r>
      <w:r>
        <w:rPr>
          <w:color w:val="auto"/>
          <w:highlight w:val="none"/>
        </w:rPr>
        <w:instrText xml:space="preserve"> PAGEREF _Toc6457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_Toc23757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开标程序</w:t>
      </w:r>
      <w:r>
        <w:rPr>
          <w:color w:val="auto"/>
          <w:highlight w:val="none"/>
        </w:rPr>
        <w:tab/>
      </w:r>
      <w:r>
        <w:rPr>
          <w:color w:val="auto"/>
          <w:highlight w:val="none"/>
        </w:rPr>
        <w:fldChar w:fldCharType="begin"/>
      </w:r>
      <w:r>
        <w:rPr>
          <w:color w:val="auto"/>
          <w:highlight w:val="none"/>
        </w:rPr>
        <w:instrText xml:space="preserve"> PAGEREF _Toc23757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_Toc2297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(三) 开评标过程存档</w:t>
      </w:r>
      <w:r>
        <w:rPr>
          <w:color w:val="auto"/>
          <w:highlight w:val="none"/>
        </w:rPr>
        <w:tab/>
      </w:r>
      <w:r>
        <w:rPr>
          <w:color w:val="auto"/>
          <w:highlight w:val="none"/>
        </w:rPr>
        <w:fldChar w:fldCharType="begin"/>
      </w:r>
      <w:r>
        <w:rPr>
          <w:color w:val="auto"/>
          <w:highlight w:val="none"/>
        </w:rPr>
        <w:instrText xml:space="preserve"> PAGEREF _Toc2297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_Toc8943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(四) 中标结果</w:t>
      </w:r>
      <w:r>
        <w:rPr>
          <w:color w:val="auto"/>
          <w:highlight w:val="none"/>
        </w:rPr>
        <w:tab/>
      </w:r>
      <w:r>
        <w:rPr>
          <w:color w:val="auto"/>
          <w:highlight w:val="none"/>
        </w:rPr>
        <w:fldChar w:fldCharType="begin"/>
      </w:r>
      <w:r>
        <w:rPr>
          <w:color w:val="auto"/>
          <w:highlight w:val="none"/>
        </w:rPr>
        <w:instrText xml:space="preserve"> PAGEREF _Toc8943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_Toc12300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 中标通知书</w:t>
      </w:r>
      <w:r>
        <w:rPr>
          <w:color w:val="auto"/>
          <w:highlight w:val="none"/>
        </w:rPr>
        <w:tab/>
      </w:r>
      <w:r>
        <w:rPr>
          <w:color w:val="auto"/>
          <w:highlight w:val="none"/>
        </w:rPr>
        <w:fldChar w:fldCharType="begin"/>
      </w:r>
      <w:r>
        <w:rPr>
          <w:color w:val="auto"/>
          <w:highlight w:val="none"/>
        </w:rPr>
        <w:instrText xml:space="preserve"> PAGEREF _Toc12300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_Toc5222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 签订及履行合同和验收</w:t>
      </w:r>
      <w:r>
        <w:rPr>
          <w:color w:val="auto"/>
          <w:highlight w:val="none"/>
        </w:rPr>
        <w:tab/>
      </w:r>
      <w:r>
        <w:rPr>
          <w:color w:val="auto"/>
          <w:highlight w:val="none"/>
        </w:rPr>
        <w:fldChar w:fldCharType="begin"/>
      </w:r>
      <w:r>
        <w:rPr>
          <w:color w:val="auto"/>
          <w:highlight w:val="none"/>
        </w:rPr>
        <w:instrText xml:space="preserve"> PAGEREF _Toc5222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_Toc11828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签订合同</w:t>
      </w:r>
      <w:r>
        <w:rPr>
          <w:color w:val="auto"/>
          <w:highlight w:val="none"/>
        </w:rPr>
        <w:tab/>
      </w:r>
      <w:r>
        <w:rPr>
          <w:color w:val="auto"/>
          <w:highlight w:val="none"/>
        </w:rPr>
        <w:fldChar w:fldCharType="begin"/>
      </w:r>
      <w:r>
        <w:rPr>
          <w:color w:val="auto"/>
          <w:highlight w:val="none"/>
        </w:rPr>
        <w:instrText xml:space="preserve"> PAGEREF _Toc11828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_Toc3689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rPr>
        <w:t xml:space="preserve">(二) </w:t>
      </w:r>
      <w:r>
        <w:rPr>
          <w:rFonts w:hint="eastAsia" w:ascii="宋体" w:hAnsi="宋体" w:eastAsia="宋体" w:cs="宋体"/>
          <w:color w:val="auto"/>
          <w:highlight w:val="none"/>
        </w:rPr>
        <w:t>合同分包</w:t>
      </w:r>
      <w:r>
        <w:rPr>
          <w:rFonts w:hint="eastAsia" w:ascii="宋体" w:hAnsi="宋体" w:eastAsia="宋体" w:cs="宋体"/>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_Toc3689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_Toc7772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 合同转包</w:t>
      </w:r>
      <w:r>
        <w:rPr>
          <w:rFonts w:hint="eastAsia" w:ascii="宋体" w:hAnsi="宋体" w:eastAsia="宋体" w:cs="宋体"/>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_Toc7772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_Toc28799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 补充合同</w:t>
      </w:r>
      <w:r>
        <w:rPr>
          <w:color w:val="auto"/>
          <w:highlight w:val="none"/>
        </w:rPr>
        <w:tab/>
      </w:r>
      <w:r>
        <w:rPr>
          <w:color w:val="auto"/>
          <w:highlight w:val="none"/>
        </w:rPr>
        <w:fldChar w:fldCharType="begin"/>
      </w:r>
      <w:r>
        <w:rPr>
          <w:color w:val="auto"/>
          <w:highlight w:val="none"/>
        </w:rPr>
        <w:instrText xml:space="preserve"> PAGEREF _Toc28799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_Toc30991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 合同公告</w:t>
      </w:r>
      <w:r>
        <w:rPr>
          <w:rFonts w:hint="eastAsia" w:ascii="宋体" w:hAnsi="宋体" w:eastAsia="宋体" w:cs="宋体"/>
          <w:color w:val="auto"/>
          <w:highlight w:val="none"/>
          <w:lang w:val="en-US" w:eastAsia="zh-CN"/>
        </w:rPr>
        <w:t>备案</w:t>
      </w:r>
      <w:r>
        <w:rPr>
          <w:color w:val="auto"/>
          <w:highlight w:val="none"/>
        </w:rPr>
        <w:tab/>
      </w:r>
      <w:r>
        <w:rPr>
          <w:color w:val="auto"/>
          <w:highlight w:val="none"/>
        </w:rPr>
        <w:fldChar w:fldCharType="begin"/>
      </w:r>
      <w:r>
        <w:rPr>
          <w:color w:val="auto"/>
          <w:highlight w:val="none"/>
        </w:rPr>
        <w:instrText xml:space="preserve"> PAGEREF _Toc30991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 履约保证金</w:t>
      </w:r>
      <w:r>
        <w:rPr>
          <w:rFonts w:hint="eastAsia" w:ascii="宋体" w:hAnsi="宋体" w:eastAsia="宋体" w:cs="宋体"/>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_Toc5024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_Toc21406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(七) 履行合同</w:t>
      </w:r>
      <w:r>
        <w:rPr>
          <w:color w:val="auto"/>
          <w:highlight w:val="none"/>
        </w:rPr>
        <w:tab/>
      </w:r>
      <w:r>
        <w:rPr>
          <w:color w:val="auto"/>
          <w:highlight w:val="none"/>
        </w:rPr>
        <w:fldChar w:fldCharType="begin"/>
      </w:r>
      <w:r>
        <w:rPr>
          <w:color w:val="auto"/>
          <w:highlight w:val="none"/>
        </w:rPr>
        <w:instrText xml:space="preserve"> PAGEREF _Toc21406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_Toc8008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(八) 验收</w:t>
      </w:r>
      <w:r>
        <w:rPr>
          <w:color w:val="auto"/>
          <w:highlight w:val="none"/>
        </w:rPr>
        <w:tab/>
      </w:r>
      <w:r>
        <w:rPr>
          <w:color w:val="auto"/>
          <w:highlight w:val="none"/>
        </w:rPr>
        <w:fldChar w:fldCharType="begin"/>
      </w:r>
      <w:r>
        <w:rPr>
          <w:color w:val="auto"/>
          <w:highlight w:val="none"/>
        </w:rPr>
        <w:instrText xml:space="preserve"> PAGEREF _Toc8008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(九) 资金支付</w:t>
      </w:r>
      <w:r>
        <w:rPr>
          <w:rFonts w:hint="eastAsia" w:ascii="宋体" w:hAnsi="宋体" w:eastAsia="宋体" w:cs="宋体"/>
          <w:color w:val="auto"/>
          <w:highlight w:val="none"/>
          <w:lang w:val="en-US" w:eastAsia="zh-CN"/>
        </w:rPr>
        <w:t>方式、时间、条件</w:t>
      </w:r>
      <w:r>
        <w:rPr>
          <w:color w:val="auto"/>
          <w:highlight w:val="none"/>
        </w:rPr>
        <w:tab/>
      </w:r>
      <w:r>
        <w:rPr>
          <w:color w:val="auto"/>
          <w:highlight w:val="none"/>
        </w:rPr>
        <w:fldChar w:fldCharType="begin"/>
      </w:r>
      <w:r>
        <w:rPr>
          <w:color w:val="auto"/>
          <w:highlight w:val="none"/>
        </w:rPr>
        <w:instrText xml:space="preserve"> PAGEREF _Toc21589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七、 投标纪律要求</w:t>
      </w:r>
      <w:r>
        <w:rPr>
          <w:color w:val="auto"/>
          <w:highlight w:val="none"/>
        </w:rPr>
        <w:tab/>
      </w:r>
      <w:r>
        <w:rPr>
          <w:color w:val="auto"/>
          <w:highlight w:val="none"/>
        </w:rPr>
        <w:fldChar w:fldCharType="begin"/>
      </w:r>
      <w:r>
        <w:rPr>
          <w:color w:val="auto"/>
          <w:highlight w:val="none"/>
        </w:rPr>
        <w:instrText xml:space="preserve"> PAGEREF _Toc1886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_Toc25511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八、 </w:t>
      </w:r>
      <w:r>
        <w:rPr>
          <w:rFonts w:hint="eastAsia" w:ascii="宋体" w:hAnsi="宋体" w:eastAsia="宋体" w:cs="宋体"/>
          <w:color w:val="auto"/>
          <w:highlight w:val="none"/>
          <w:lang w:val="en-US" w:eastAsia="zh-CN"/>
        </w:rPr>
        <w:t>其他</w:t>
      </w:r>
      <w:r>
        <w:rPr>
          <w:color w:val="auto"/>
          <w:highlight w:val="none"/>
        </w:rPr>
        <w:tab/>
      </w:r>
      <w:r>
        <w:rPr>
          <w:color w:val="auto"/>
          <w:highlight w:val="none"/>
        </w:rPr>
        <w:fldChar w:fldCharType="begin"/>
      </w:r>
      <w:r>
        <w:rPr>
          <w:color w:val="auto"/>
          <w:highlight w:val="none"/>
        </w:rPr>
        <w:instrText xml:space="preserve"> PAGEREF _Toc25511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_Toc31115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询问</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质疑和投诉</w:t>
      </w:r>
      <w:r>
        <w:rPr>
          <w:color w:val="auto"/>
          <w:highlight w:val="none"/>
        </w:rPr>
        <w:tab/>
      </w:r>
      <w:r>
        <w:rPr>
          <w:color w:val="auto"/>
          <w:highlight w:val="none"/>
        </w:rPr>
        <w:fldChar w:fldCharType="begin"/>
      </w:r>
      <w:r>
        <w:rPr>
          <w:color w:val="auto"/>
          <w:highlight w:val="none"/>
        </w:rPr>
        <w:instrText xml:space="preserve"> PAGEREF _Toc31115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_Toc22229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关于行贿犯罪档案查询工作的规定</w:t>
      </w:r>
      <w:r>
        <w:rPr>
          <w:color w:val="auto"/>
          <w:highlight w:val="none"/>
        </w:rPr>
        <w:tab/>
      </w:r>
      <w:r>
        <w:rPr>
          <w:color w:val="auto"/>
          <w:highlight w:val="none"/>
        </w:rPr>
        <w:fldChar w:fldCharType="begin"/>
      </w:r>
      <w:r>
        <w:rPr>
          <w:color w:val="auto"/>
          <w:highlight w:val="none"/>
        </w:rPr>
        <w:instrText xml:space="preserve"> PAGEREF _Toc22229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_Toc17543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(三) 串通投标的情形</w:t>
      </w:r>
      <w:r>
        <w:rPr>
          <w:color w:val="auto"/>
          <w:highlight w:val="none"/>
        </w:rPr>
        <w:tab/>
      </w:r>
      <w:r>
        <w:rPr>
          <w:color w:val="auto"/>
          <w:highlight w:val="none"/>
        </w:rPr>
        <w:fldChar w:fldCharType="begin"/>
      </w:r>
      <w:r>
        <w:rPr>
          <w:color w:val="auto"/>
          <w:highlight w:val="none"/>
        </w:rPr>
        <w:instrText xml:space="preserve"> PAGEREF _Toc17543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_Toc885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(四) 投标人信用信息查询</w:t>
      </w:r>
      <w:r>
        <w:rPr>
          <w:color w:val="auto"/>
          <w:highlight w:val="none"/>
        </w:rPr>
        <w:tab/>
      </w:r>
      <w:r>
        <w:rPr>
          <w:color w:val="auto"/>
          <w:highlight w:val="none"/>
        </w:rPr>
        <w:fldChar w:fldCharType="begin"/>
      </w:r>
      <w:r>
        <w:rPr>
          <w:color w:val="auto"/>
          <w:highlight w:val="none"/>
        </w:rPr>
        <w:instrText xml:space="preserve"> PAGEREF _Toc885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_Toc9358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(五) 解释说明</w:t>
      </w:r>
      <w:r>
        <w:rPr>
          <w:color w:val="auto"/>
          <w:highlight w:val="none"/>
        </w:rPr>
        <w:tab/>
      </w:r>
      <w:r>
        <w:rPr>
          <w:color w:val="auto"/>
          <w:highlight w:val="none"/>
        </w:rPr>
        <w:fldChar w:fldCharType="begin"/>
      </w:r>
      <w:r>
        <w:rPr>
          <w:color w:val="auto"/>
          <w:highlight w:val="none"/>
        </w:rPr>
        <w:instrText xml:space="preserve"> PAGEREF _Toc9358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highlight w:val="none"/>
        </w:rPr>
        <w:fldChar w:fldCharType="end"/>
      </w:r>
    </w:p>
    <w:p>
      <w:pPr>
        <w:pStyle w:val="16"/>
        <w:tabs>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_Toc1485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投标文件格式</w:t>
      </w:r>
      <w:r>
        <w:rPr>
          <w:color w:val="auto"/>
          <w:highlight w:val="none"/>
        </w:rPr>
        <w:tab/>
      </w:r>
      <w:r>
        <w:rPr>
          <w:color w:val="auto"/>
          <w:highlight w:val="none"/>
        </w:rPr>
        <w:fldChar w:fldCharType="begin"/>
      </w:r>
      <w:r>
        <w:rPr>
          <w:color w:val="auto"/>
          <w:highlight w:val="none"/>
        </w:rPr>
        <w:instrText xml:space="preserve"> PAGEREF _Toc1485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_Toc14815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lang w:val="en-US" w:eastAsia="zh-CN"/>
        </w:rPr>
        <w:t>第一部</w:t>
      </w:r>
      <w:r>
        <w:rPr>
          <w:rFonts w:hint="eastAsia" w:ascii="宋体" w:hAnsi="宋体" w:eastAsia="宋体" w:cs="宋体"/>
          <w:color w:val="auto"/>
          <w:szCs w:val="32"/>
          <w:highlight w:val="none"/>
        </w:rPr>
        <w:t>分 资格、资质性及其他类似效力</w:t>
      </w:r>
      <w:r>
        <w:rPr>
          <w:rFonts w:hint="eastAsia" w:ascii="宋体" w:hAnsi="宋体" w:eastAsia="宋体" w:cs="宋体"/>
          <w:color w:val="auto"/>
          <w:szCs w:val="32"/>
          <w:highlight w:val="none"/>
          <w:lang w:val="en-US" w:eastAsia="zh-CN"/>
        </w:rPr>
        <w:t>投标</w:t>
      </w:r>
      <w:r>
        <w:rPr>
          <w:rFonts w:hint="eastAsia" w:ascii="宋体" w:hAnsi="宋体" w:eastAsia="宋体" w:cs="宋体"/>
          <w:color w:val="auto"/>
          <w:szCs w:val="32"/>
          <w:highlight w:val="none"/>
        </w:rPr>
        <w:t>文件(格式)</w:t>
      </w:r>
      <w:r>
        <w:rPr>
          <w:color w:val="auto"/>
          <w:highlight w:val="none"/>
        </w:rPr>
        <w:tab/>
      </w:r>
      <w:r>
        <w:rPr>
          <w:color w:val="auto"/>
          <w:highlight w:val="none"/>
        </w:rPr>
        <w:fldChar w:fldCharType="begin"/>
      </w:r>
      <w:r>
        <w:rPr>
          <w:color w:val="auto"/>
          <w:highlight w:val="none"/>
        </w:rPr>
        <w:instrText xml:space="preserve"> PAGEREF _Toc14815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_Toc26089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法定代表人</w:t>
      </w:r>
      <w:r>
        <w:rPr>
          <w:rFonts w:hint="eastAsia" w:ascii="宋体" w:hAnsi="宋体" w:eastAsia="宋体" w:cs="宋体"/>
          <w:color w:val="auto"/>
          <w:highlight w:val="none"/>
          <w:lang w:val="en-US" w:eastAsia="zh-CN"/>
        </w:rPr>
        <w:t>/单位负责人</w:t>
      </w:r>
      <w:r>
        <w:rPr>
          <w:rFonts w:hint="eastAsia" w:ascii="宋体" w:hAnsi="宋体" w:eastAsia="宋体" w:cs="宋体"/>
          <w:color w:val="auto"/>
          <w:highlight w:val="none"/>
        </w:rPr>
        <w:t>授权书</w:t>
      </w:r>
      <w:r>
        <w:rPr>
          <w:color w:val="auto"/>
          <w:highlight w:val="none"/>
        </w:rPr>
        <w:tab/>
      </w:r>
      <w:r>
        <w:rPr>
          <w:color w:val="auto"/>
          <w:highlight w:val="none"/>
        </w:rPr>
        <w:fldChar w:fldCharType="begin"/>
      </w:r>
      <w:r>
        <w:rPr>
          <w:color w:val="auto"/>
          <w:highlight w:val="none"/>
        </w:rPr>
        <w:instrText xml:space="preserve"> PAGEREF _Toc26089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_Toc23036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一、 法定代表人/单位负责人证明书</w:t>
      </w:r>
      <w:r>
        <w:rPr>
          <w:color w:val="auto"/>
          <w:highlight w:val="none"/>
        </w:rPr>
        <w:tab/>
      </w:r>
      <w:r>
        <w:rPr>
          <w:color w:val="auto"/>
          <w:highlight w:val="none"/>
        </w:rPr>
        <w:fldChar w:fldCharType="begin"/>
      </w:r>
      <w:r>
        <w:rPr>
          <w:color w:val="auto"/>
          <w:highlight w:val="none"/>
        </w:rPr>
        <w:instrText xml:space="preserve"> PAGEREF _Toc23036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_Toc25184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二、 具有独立承担民事责任的能力的证明材料</w:t>
      </w:r>
      <w:r>
        <w:rPr>
          <w:color w:val="auto"/>
          <w:highlight w:val="none"/>
        </w:rPr>
        <w:tab/>
      </w:r>
      <w:r>
        <w:rPr>
          <w:color w:val="auto"/>
          <w:highlight w:val="none"/>
        </w:rPr>
        <w:fldChar w:fldCharType="begin"/>
      </w:r>
      <w:r>
        <w:rPr>
          <w:color w:val="auto"/>
          <w:highlight w:val="none"/>
        </w:rPr>
        <w:instrText xml:space="preserve"> PAGEREF _Toc25184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_Toc29649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三、 投标人具有良好的商业信誉和健全的财务会计制度的证明材料</w:t>
      </w:r>
      <w:r>
        <w:rPr>
          <w:color w:val="auto"/>
          <w:highlight w:val="none"/>
        </w:rPr>
        <w:tab/>
      </w:r>
      <w:r>
        <w:rPr>
          <w:color w:val="auto"/>
          <w:highlight w:val="none"/>
        </w:rPr>
        <w:fldChar w:fldCharType="begin"/>
      </w:r>
      <w:r>
        <w:rPr>
          <w:color w:val="auto"/>
          <w:highlight w:val="none"/>
        </w:rPr>
        <w:instrText xml:space="preserve"> PAGEREF _Toc29649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_Toc30292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四、 投标人具有依法缴纳税收和社会保障资金的良好记录的证明材料</w:t>
      </w:r>
      <w:r>
        <w:rPr>
          <w:color w:val="auto"/>
          <w:highlight w:val="none"/>
        </w:rPr>
        <w:tab/>
      </w:r>
      <w:r>
        <w:rPr>
          <w:color w:val="auto"/>
          <w:highlight w:val="none"/>
        </w:rPr>
        <w:fldChar w:fldCharType="begin"/>
      </w:r>
      <w:r>
        <w:rPr>
          <w:color w:val="auto"/>
          <w:highlight w:val="none"/>
        </w:rPr>
        <w:instrText xml:space="preserve"> PAGEREF _Toc30292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_Toc26167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五、 投标人具有履行合同所必需的设备和专业技术能力证明材料</w:t>
      </w:r>
      <w:r>
        <w:rPr>
          <w:color w:val="auto"/>
          <w:highlight w:val="none"/>
        </w:rPr>
        <w:tab/>
      </w:r>
      <w:r>
        <w:rPr>
          <w:color w:val="auto"/>
          <w:highlight w:val="none"/>
        </w:rPr>
        <w:fldChar w:fldCharType="begin"/>
      </w:r>
      <w:r>
        <w:rPr>
          <w:color w:val="auto"/>
          <w:highlight w:val="none"/>
        </w:rPr>
        <w:instrText xml:space="preserve"> PAGEREF _Toc26167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_Toc7287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六、 投标人参加政府采购活动前三年内，在经营活动中没有重大违法记录的证明材料</w:t>
      </w:r>
      <w:r>
        <w:rPr>
          <w:color w:val="auto"/>
          <w:highlight w:val="none"/>
        </w:rPr>
        <w:tab/>
      </w:r>
      <w:r>
        <w:rPr>
          <w:color w:val="auto"/>
          <w:highlight w:val="none"/>
        </w:rPr>
        <w:fldChar w:fldCharType="begin"/>
      </w:r>
      <w:r>
        <w:rPr>
          <w:color w:val="auto"/>
          <w:highlight w:val="none"/>
        </w:rPr>
        <w:instrText xml:space="preserve"> PAGEREF _Toc7287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_Toc25455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eastAsia="zh-CN"/>
        </w:rPr>
        <w:t xml:space="preserve">七、 </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lang w:val="zh-CN" w:eastAsia="zh-CN"/>
        </w:rPr>
        <w:t>及其现任法定代表人、主要负责人不得具有行贿犯罪记录</w:t>
      </w:r>
      <w:r>
        <w:rPr>
          <w:rFonts w:hint="eastAsia" w:ascii="宋体" w:hAnsi="宋体" w:eastAsia="宋体" w:cs="宋体"/>
          <w:color w:val="auto"/>
          <w:highlight w:val="none"/>
          <w:lang w:val="en-US" w:eastAsia="zh-CN"/>
        </w:rPr>
        <w:t>的承诺函</w:t>
      </w:r>
      <w:r>
        <w:rPr>
          <w:color w:val="auto"/>
          <w:highlight w:val="none"/>
        </w:rPr>
        <w:tab/>
      </w:r>
      <w:r>
        <w:rPr>
          <w:color w:val="auto"/>
          <w:highlight w:val="none"/>
        </w:rPr>
        <w:fldChar w:fldCharType="begin"/>
      </w:r>
      <w:r>
        <w:rPr>
          <w:color w:val="auto"/>
          <w:highlight w:val="none"/>
        </w:rPr>
        <w:instrText xml:space="preserve"> PAGEREF _Toc25455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_Toc7951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八、 根据采购项目的特殊要求，供应商提供具有特定条件的证明材料</w:t>
      </w:r>
      <w:r>
        <w:rPr>
          <w:color w:val="auto"/>
          <w:highlight w:val="none"/>
        </w:rPr>
        <w:tab/>
      </w:r>
      <w:r>
        <w:rPr>
          <w:color w:val="auto"/>
          <w:highlight w:val="none"/>
        </w:rPr>
        <w:fldChar w:fldCharType="begin"/>
      </w:r>
      <w:r>
        <w:rPr>
          <w:color w:val="auto"/>
          <w:highlight w:val="none"/>
        </w:rPr>
        <w:instrText xml:space="preserve"> PAGEREF _Toc7951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九、 符合《中华人民共和国政府采购法》第二十二条规定的条件的承诺及声明函</w:t>
      </w:r>
      <w:r>
        <w:rPr>
          <w:color w:val="auto"/>
          <w:highlight w:val="none"/>
        </w:rPr>
        <w:tab/>
      </w:r>
      <w:r>
        <w:rPr>
          <w:color w:val="auto"/>
          <w:highlight w:val="none"/>
        </w:rPr>
        <w:fldChar w:fldCharType="begin"/>
      </w:r>
      <w:r>
        <w:rPr>
          <w:color w:val="auto"/>
          <w:highlight w:val="none"/>
        </w:rPr>
        <w:instrText xml:space="preserve"> PAGEREF _Toc4483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_Toc1368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w:t>
      </w:r>
      <w:r>
        <w:rPr>
          <w:rFonts w:hint="eastAsia" w:ascii="宋体" w:hAnsi="宋体" w:eastAsia="宋体" w:cs="宋体"/>
          <w:color w:val="auto"/>
          <w:szCs w:val="32"/>
          <w:highlight w:val="none"/>
          <w:lang w:val="en-US" w:eastAsia="zh-CN"/>
        </w:rPr>
        <w:t>二</w:t>
      </w:r>
      <w:r>
        <w:rPr>
          <w:rFonts w:hint="eastAsia" w:ascii="宋体" w:hAnsi="宋体" w:eastAsia="宋体" w:cs="宋体"/>
          <w:color w:val="auto"/>
          <w:szCs w:val="32"/>
          <w:highlight w:val="none"/>
        </w:rPr>
        <w:t>部分 其他</w:t>
      </w:r>
      <w:r>
        <w:rPr>
          <w:rFonts w:hint="eastAsia" w:ascii="宋体" w:hAnsi="宋体" w:eastAsia="宋体" w:cs="宋体"/>
          <w:color w:val="auto"/>
          <w:szCs w:val="32"/>
          <w:highlight w:val="none"/>
          <w:lang w:val="en-US" w:eastAsia="zh-CN"/>
        </w:rPr>
        <w:t>投标</w:t>
      </w:r>
      <w:r>
        <w:rPr>
          <w:rFonts w:hint="eastAsia" w:ascii="宋体" w:hAnsi="宋体" w:eastAsia="宋体" w:cs="宋体"/>
          <w:color w:val="auto"/>
          <w:szCs w:val="32"/>
          <w:highlight w:val="none"/>
        </w:rPr>
        <w:t>文件(格式)</w:t>
      </w:r>
      <w:r>
        <w:rPr>
          <w:color w:val="auto"/>
          <w:highlight w:val="none"/>
        </w:rPr>
        <w:tab/>
      </w:r>
      <w:r>
        <w:rPr>
          <w:color w:val="auto"/>
          <w:highlight w:val="none"/>
        </w:rPr>
        <w:fldChar w:fldCharType="begin"/>
      </w:r>
      <w:r>
        <w:rPr>
          <w:color w:val="auto"/>
          <w:highlight w:val="none"/>
        </w:rPr>
        <w:instrText xml:space="preserve"> PAGEREF _Toc1368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_Toc22199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一、 投标函</w:t>
      </w:r>
      <w:r>
        <w:rPr>
          <w:color w:val="auto"/>
          <w:highlight w:val="none"/>
        </w:rPr>
        <w:tab/>
      </w:r>
      <w:r>
        <w:rPr>
          <w:color w:val="auto"/>
          <w:highlight w:val="none"/>
        </w:rPr>
        <w:fldChar w:fldCharType="begin"/>
      </w:r>
      <w:r>
        <w:rPr>
          <w:color w:val="auto"/>
          <w:highlight w:val="none"/>
        </w:rPr>
        <w:instrText xml:space="preserve"> PAGEREF _Toc22199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_Toc28850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二、 实质性要求承诺</w:t>
      </w:r>
      <w:r>
        <w:rPr>
          <w:color w:val="auto"/>
          <w:highlight w:val="none"/>
        </w:rPr>
        <w:tab/>
      </w:r>
      <w:r>
        <w:rPr>
          <w:color w:val="auto"/>
          <w:highlight w:val="none"/>
        </w:rPr>
        <w:fldChar w:fldCharType="begin"/>
      </w:r>
      <w:r>
        <w:rPr>
          <w:color w:val="auto"/>
          <w:highlight w:val="none"/>
        </w:rPr>
        <w:instrText xml:space="preserve"> PAGEREF _Toc28850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_Toc31337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三、 投标人诚信情况承诺函</w:t>
      </w:r>
      <w:r>
        <w:rPr>
          <w:color w:val="auto"/>
          <w:highlight w:val="none"/>
        </w:rPr>
        <w:tab/>
      </w:r>
      <w:r>
        <w:rPr>
          <w:color w:val="auto"/>
          <w:highlight w:val="none"/>
        </w:rPr>
        <w:fldChar w:fldCharType="begin"/>
      </w:r>
      <w:r>
        <w:rPr>
          <w:color w:val="auto"/>
          <w:highlight w:val="none"/>
        </w:rPr>
        <w:instrText xml:space="preserve"> PAGEREF _Toc31337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_Toc4219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四、 投标人基本情况表</w:t>
      </w:r>
      <w:r>
        <w:rPr>
          <w:color w:val="auto"/>
          <w:highlight w:val="none"/>
        </w:rPr>
        <w:tab/>
      </w:r>
      <w:r>
        <w:rPr>
          <w:color w:val="auto"/>
          <w:highlight w:val="none"/>
        </w:rPr>
        <w:fldChar w:fldCharType="begin"/>
      </w:r>
      <w:r>
        <w:rPr>
          <w:color w:val="auto"/>
          <w:highlight w:val="none"/>
        </w:rPr>
        <w:instrText xml:space="preserve"> PAGEREF _Toc4219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_Toc17941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五、 开标一览表</w:t>
      </w:r>
      <w:r>
        <w:rPr>
          <w:color w:val="auto"/>
          <w:highlight w:val="none"/>
        </w:rPr>
        <w:tab/>
      </w:r>
      <w:r>
        <w:rPr>
          <w:color w:val="auto"/>
          <w:highlight w:val="none"/>
        </w:rPr>
        <w:fldChar w:fldCharType="begin"/>
      </w:r>
      <w:r>
        <w:rPr>
          <w:color w:val="auto"/>
          <w:highlight w:val="none"/>
        </w:rPr>
        <w:instrText xml:space="preserve"> PAGEREF _Toc17941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_Toc18823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六、 商务应答表</w:t>
      </w:r>
      <w:r>
        <w:rPr>
          <w:color w:val="auto"/>
          <w:highlight w:val="none"/>
        </w:rPr>
        <w:tab/>
      </w:r>
      <w:r>
        <w:rPr>
          <w:color w:val="auto"/>
          <w:highlight w:val="none"/>
        </w:rPr>
        <w:fldChar w:fldCharType="begin"/>
      </w:r>
      <w:r>
        <w:rPr>
          <w:color w:val="auto"/>
          <w:highlight w:val="none"/>
        </w:rPr>
        <w:instrText xml:space="preserve"> PAGEREF _Toc18823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_Toc28506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七、 技术、服务响应表</w:t>
      </w:r>
      <w:r>
        <w:rPr>
          <w:color w:val="auto"/>
          <w:highlight w:val="none"/>
        </w:rPr>
        <w:tab/>
      </w:r>
      <w:r>
        <w:rPr>
          <w:color w:val="auto"/>
          <w:highlight w:val="none"/>
        </w:rPr>
        <w:fldChar w:fldCharType="begin"/>
      </w:r>
      <w:r>
        <w:rPr>
          <w:color w:val="auto"/>
          <w:highlight w:val="none"/>
        </w:rPr>
        <w:instrText xml:space="preserve"> PAGEREF _Toc28506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_Toc22168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八、 履约能力及相关证明</w:t>
      </w:r>
      <w:r>
        <w:rPr>
          <w:color w:val="auto"/>
          <w:highlight w:val="none"/>
        </w:rPr>
        <w:tab/>
      </w:r>
      <w:r>
        <w:rPr>
          <w:color w:val="auto"/>
          <w:highlight w:val="none"/>
        </w:rPr>
        <w:fldChar w:fldCharType="begin"/>
      </w:r>
      <w:r>
        <w:rPr>
          <w:color w:val="auto"/>
          <w:highlight w:val="none"/>
        </w:rPr>
        <w:instrText xml:space="preserve"> PAGEREF _Toc22168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_Toc6954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九、 投标人针对本项目人员配置情况表</w:t>
      </w:r>
      <w:r>
        <w:rPr>
          <w:color w:val="auto"/>
          <w:highlight w:val="none"/>
        </w:rPr>
        <w:tab/>
      </w:r>
      <w:r>
        <w:rPr>
          <w:color w:val="auto"/>
          <w:highlight w:val="none"/>
        </w:rPr>
        <w:fldChar w:fldCharType="begin"/>
      </w:r>
      <w:r>
        <w:rPr>
          <w:color w:val="auto"/>
          <w:highlight w:val="none"/>
        </w:rPr>
        <w:instrText xml:space="preserve"> PAGEREF _Toc6954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_Toc4415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十、 中小企业声明函(如涉及)</w:t>
      </w:r>
      <w:r>
        <w:rPr>
          <w:color w:val="auto"/>
          <w:highlight w:val="none"/>
        </w:rPr>
        <w:tab/>
      </w:r>
      <w:r>
        <w:rPr>
          <w:color w:val="auto"/>
          <w:highlight w:val="none"/>
        </w:rPr>
        <w:fldChar w:fldCharType="begin"/>
      </w:r>
      <w:r>
        <w:rPr>
          <w:color w:val="auto"/>
          <w:highlight w:val="none"/>
        </w:rPr>
        <w:instrText xml:space="preserve"> PAGEREF _Toc4415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十一、 监狱企业相关证明材料(如涉及)</w:t>
      </w:r>
      <w:r>
        <w:rPr>
          <w:color w:val="auto"/>
          <w:highlight w:val="none"/>
        </w:rPr>
        <w:tab/>
      </w:r>
      <w:r>
        <w:rPr>
          <w:color w:val="auto"/>
          <w:highlight w:val="none"/>
        </w:rPr>
        <w:fldChar w:fldCharType="begin"/>
      </w:r>
      <w:r>
        <w:rPr>
          <w:color w:val="auto"/>
          <w:highlight w:val="none"/>
        </w:rPr>
        <w:instrText xml:space="preserve"> PAGEREF _Toc2965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_Toc20229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十二、 残疾人福利性单位声明函(如涉及)</w:t>
      </w:r>
      <w:r>
        <w:rPr>
          <w:color w:val="auto"/>
          <w:highlight w:val="none"/>
        </w:rPr>
        <w:tab/>
      </w:r>
      <w:r>
        <w:rPr>
          <w:color w:val="auto"/>
          <w:highlight w:val="none"/>
        </w:rPr>
        <w:fldChar w:fldCharType="begin"/>
      </w:r>
      <w:r>
        <w:rPr>
          <w:color w:val="auto"/>
          <w:highlight w:val="none"/>
        </w:rPr>
        <w:instrText xml:space="preserve"> PAGEREF _Toc20229 \h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_Toc21708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十三、 项目实施方案</w:t>
      </w:r>
      <w:r>
        <w:rPr>
          <w:color w:val="auto"/>
          <w:highlight w:val="none"/>
        </w:rPr>
        <w:tab/>
      </w:r>
      <w:r>
        <w:rPr>
          <w:color w:val="auto"/>
          <w:highlight w:val="none"/>
        </w:rPr>
        <w:fldChar w:fldCharType="begin"/>
      </w:r>
      <w:r>
        <w:rPr>
          <w:color w:val="auto"/>
          <w:highlight w:val="none"/>
        </w:rPr>
        <w:instrText xml:space="preserve"> PAGEREF _Toc21708 \h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_Toc23779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十四、 招标代理服务费承诺函</w:t>
      </w:r>
      <w:r>
        <w:rPr>
          <w:color w:val="auto"/>
          <w:highlight w:val="none"/>
        </w:rPr>
        <w:tab/>
      </w:r>
      <w:r>
        <w:rPr>
          <w:color w:val="auto"/>
          <w:highlight w:val="none"/>
        </w:rPr>
        <w:fldChar w:fldCharType="begin"/>
      </w:r>
      <w:r>
        <w:rPr>
          <w:color w:val="auto"/>
          <w:highlight w:val="none"/>
        </w:rPr>
        <w:instrText xml:space="preserve"> PAGEREF _Toc23779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eastAsia="宋体" w:cs="宋体"/>
          <w:color w:val="auto"/>
          <w:highlight w:val="none"/>
        </w:rPr>
        <w:fldChar w:fldCharType="end"/>
      </w:r>
    </w:p>
    <w:p>
      <w:pPr>
        <w:pStyle w:val="16"/>
        <w:tabs>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_Toc6987 </w:instrText>
      </w:r>
      <w:r>
        <w:rPr>
          <w:rFonts w:hint="eastAsia" w:ascii="宋体" w:hAnsi="宋体" w:eastAsia="宋体" w:cs="宋体"/>
          <w:color w:val="auto"/>
          <w:highlight w:val="none"/>
        </w:rPr>
        <w:fldChar w:fldCharType="separate"/>
      </w:r>
      <w:r>
        <w:rPr>
          <w:rFonts w:hint="eastAsia" w:ascii="宋体" w:hAnsi="宋体" w:eastAsia="宋体" w:cs="宋体"/>
          <w:color w:val="auto"/>
          <w:w w:val="95"/>
          <w:highlight w:val="none"/>
          <w:lang w:val="en-US" w:eastAsia="zh-CN"/>
        </w:rPr>
        <w:t>第四章 投标人和投标产品的资格、资质性及其他类似效力要求</w:t>
      </w:r>
      <w:r>
        <w:rPr>
          <w:color w:val="auto"/>
          <w:highlight w:val="none"/>
        </w:rPr>
        <w:tab/>
      </w:r>
      <w:r>
        <w:rPr>
          <w:color w:val="auto"/>
          <w:highlight w:val="none"/>
        </w:rPr>
        <w:fldChar w:fldCharType="begin"/>
      </w:r>
      <w:r>
        <w:rPr>
          <w:color w:val="auto"/>
          <w:highlight w:val="none"/>
        </w:rPr>
        <w:instrText xml:space="preserve"> PAGEREF _Toc6987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_Toc13119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 xml:space="preserve">一、 </w:t>
      </w:r>
      <w:r>
        <w:rPr>
          <w:rFonts w:hint="eastAsia" w:ascii="宋体" w:hAnsi="宋体" w:eastAsia="宋体" w:cs="宋体"/>
          <w:color w:val="auto"/>
          <w:highlight w:val="none"/>
        </w:rPr>
        <w:t>投标人资格、资质性及其他类似效力要求</w:t>
      </w:r>
      <w:r>
        <w:rPr>
          <w:color w:val="auto"/>
          <w:highlight w:val="none"/>
        </w:rPr>
        <w:tab/>
      </w:r>
      <w:r>
        <w:rPr>
          <w:color w:val="auto"/>
          <w:highlight w:val="none"/>
        </w:rPr>
        <w:fldChar w:fldCharType="begin"/>
      </w:r>
      <w:r>
        <w:rPr>
          <w:color w:val="auto"/>
          <w:highlight w:val="none"/>
        </w:rPr>
        <w:instrText xml:space="preserve"> PAGEREF _Toc13119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_Toc11342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投标产品的资格、资质性及其他类似效力要求</w:t>
      </w:r>
      <w:r>
        <w:rPr>
          <w:color w:val="auto"/>
          <w:highlight w:val="none"/>
        </w:rPr>
        <w:tab/>
      </w:r>
      <w:r>
        <w:rPr>
          <w:color w:val="auto"/>
          <w:highlight w:val="none"/>
        </w:rPr>
        <w:fldChar w:fldCharType="begin"/>
      </w:r>
      <w:r>
        <w:rPr>
          <w:color w:val="auto"/>
          <w:highlight w:val="none"/>
        </w:rPr>
        <w:instrText xml:space="preserve"> PAGEREF _Toc11342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_Toc3853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三、 其他类似效力要求</w:t>
      </w:r>
      <w:r>
        <w:rPr>
          <w:color w:val="auto"/>
          <w:highlight w:val="none"/>
        </w:rPr>
        <w:tab/>
      </w:r>
      <w:r>
        <w:rPr>
          <w:color w:val="auto"/>
          <w:highlight w:val="none"/>
        </w:rPr>
        <w:fldChar w:fldCharType="begin"/>
      </w:r>
      <w:r>
        <w:rPr>
          <w:color w:val="auto"/>
          <w:highlight w:val="none"/>
        </w:rPr>
        <w:instrText xml:space="preserve"> PAGEREF _Toc3853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eastAsia="宋体" w:cs="宋体"/>
          <w:color w:val="auto"/>
          <w:highlight w:val="none"/>
        </w:rPr>
        <w:fldChar w:fldCharType="end"/>
      </w:r>
    </w:p>
    <w:p>
      <w:pPr>
        <w:pStyle w:val="16"/>
        <w:tabs>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_Toc2816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第五章 资格性审查内容</w:t>
      </w:r>
      <w:r>
        <w:rPr>
          <w:color w:val="auto"/>
          <w:highlight w:val="none"/>
        </w:rPr>
        <w:tab/>
      </w:r>
      <w:r>
        <w:rPr>
          <w:color w:val="auto"/>
          <w:highlight w:val="none"/>
        </w:rPr>
        <w:fldChar w:fldCharType="begin"/>
      </w:r>
      <w:r>
        <w:rPr>
          <w:color w:val="auto"/>
          <w:highlight w:val="none"/>
        </w:rPr>
        <w:instrText xml:space="preserve"> PAGEREF _Toc2816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_Toc16583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应当提供的投标人</w:t>
      </w:r>
      <w:r>
        <w:rPr>
          <w:rFonts w:hint="eastAsia" w:ascii="宋体" w:hAnsi="宋体" w:eastAsia="宋体" w:cs="宋体"/>
          <w:color w:val="auto"/>
          <w:highlight w:val="none"/>
          <w:lang w:eastAsia="zh-CN"/>
        </w:rPr>
        <w:t>及投标产品</w:t>
      </w:r>
      <w:r>
        <w:rPr>
          <w:rFonts w:hint="eastAsia" w:ascii="宋体" w:hAnsi="宋体" w:eastAsia="宋体" w:cs="宋体"/>
          <w:color w:val="auto"/>
          <w:highlight w:val="none"/>
        </w:rPr>
        <w:t>资格、资质性及其他类似效力要求的相关证明材料</w:t>
      </w:r>
      <w:r>
        <w:rPr>
          <w:color w:val="auto"/>
          <w:highlight w:val="none"/>
        </w:rPr>
        <w:tab/>
      </w:r>
      <w:r>
        <w:rPr>
          <w:color w:val="auto"/>
          <w:highlight w:val="none"/>
        </w:rPr>
        <w:fldChar w:fldCharType="begin"/>
      </w:r>
      <w:r>
        <w:rPr>
          <w:color w:val="auto"/>
          <w:highlight w:val="none"/>
        </w:rPr>
        <w:instrText xml:space="preserve"> PAGEREF _Toc16583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_Toc8193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eastAsia="zh-CN"/>
        </w:rPr>
        <w:t>二、 审查程序</w:t>
      </w:r>
      <w:r>
        <w:rPr>
          <w:color w:val="auto"/>
          <w:highlight w:val="none"/>
        </w:rPr>
        <w:tab/>
      </w:r>
      <w:r>
        <w:rPr>
          <w:color w:val="auto"/>
          <w:highlight w:val="none"/>
        </w:rPr>
        <w:fldChar w:fldCharType="begin"/>
      </w:r>
      <w:r>
        <w:rPr>
          <w:color w:val="auto"/>
          <w:highlight w:val="none"/>
        </w:rPr>
        <w:instrText xml:space="preserve"> PAGEREF _Toc8193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highlight w:val="none"/>
        </w:rPr>
        <w:fldChar w:fldCharType="end"/>
      </w:r>
    </w:p>
    <w:p>
      <w:pPr>
        <w:pStyle w:val="16"/>
        <w:tabs>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_Toc18519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招标项目技术、服务、政府采购合同内容条款及其他商务要求</w:t>
      </w:r>
      <w:r>
        <w:rPr>
          <w:color w:val="auto"/>
          <w:highlight w:val="none"/>
        </w:rPr>
        <w:tab/>
      </w:r>
      <w:r>
        <w:rPr>
          <w:color w:val="auto"/>
          <w:highlight w:val="none"/>
        </w:rPr>
        <w:fldChar w:fldCharType="begin"/>
      </w:r>
      <w:r>
        <w:rPr>
          <w:color w:val="auto"/>
          <w:highlight w:val="none"/>
        </w:rPr>
        <w:instrText xml:space="preserve"> PAGEREF _Toc18519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_Toc26164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一、 </w:t>
      </w:r>
      <w:r>
        <w:rPr>
          <w:rFonts w:hint="eastAsia" w:ascii="宋体" w:hAnsi="宋体" w:eastAsia="宋体" w:cs="宋体"/>
          <w:color w:val="auto"/>
          <w:highlight w:val="none"/>
          <w:lang w:val="en-US" w:eastAsia="zh-CN"/>
        </w:rPr>
        <w:t>项目概述</w:t>
      </w:r>
      <w:r>
        <w:rPr>
          <w:color w:val="auto"/>
          <w:highlight w:val="none"/>
        </w:rPr>
        <w:tab/>
      </w:r>
      <w:r>
        <w:rPr>
          <w:color w:val="auto"/>
          <w:highlight w:val="none"/>
        </w:rPr>
        <w:fldChar w:fldCharType="begin"/>
      </w:r>
      <w:r>
        <w:rPr>
          <w:color w:val="auto"/>
          <w:highlight w:val="none"/>
        </w:rPr>
        <w:instrText xml:space="preserve"> PAGEREF _Toc26164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_Toc19759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二、 </w:t>
      </w:r>
      <w:r>
        <w:rPr>
          <w:rFonts w:hint="eastAsia" w:ascii="宋体" w:hAnsi="宋体" w:eastAsia="宋体" w:cs="宋体"/>
          <w:color w:val="auto"/>
          <w:highlight w:val="none"/>
          <w:lang w:val="en-US" w:eastAsia="zh-CN"/>
        </w:rPr>
        <w:t>采购清单</w:t>
      </w:r>
      <w:r>
        <w:rPr>
          <w:color w:val="auto"/>
          <w:highlight w:val="none"/>
        </w:rPr>
        <w:tab/>
      </w:r>
      <w:r>
        <w:rPr>
          <w:color w:val="auto"/>
          <w:highlight w:val="none"/>
        </w:rPr>
        <w:fldChar w:fldCharType="begin"/>
      </w:r>
      <w:r>
        <w:rPr>
          <w:color w:val="auto"/>
          <w:highlight w:val="none"/>
        </w:rPr>
        <w:instrText xml:space="preserve"> PAGEREF _Toc19759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三、 </w:t>
      </w:r>
      <w:r>
        <w:rPr>
          <w:rFonts w:hint="eastAsia" w:ascii="宋体" w:hAnsi="宋体" w:eastAsia="宋体" w:cs="宋体"/>
          <w:color w:val="auto"/>
          <w:highlight w:val="none"/>
          <w:lang w:val="en-US" w:eastAsia="zh-CN"/>
        </w:rPr>
        <w:t>技术、服务要求</w:t>
      </w:r>
      <w:r>
        <w:rPr>
          <w:color w:val="auto"/>
          <w:highlight w:val="none"/>
        </w:rPr>
        <w:tab/>
      </w:r>
      <w:r>
        <w:rPr>
          <w:color w:val="auto"/>
          <w:highlight w:val="none"/>
        </w:rPr>
        <w:fldChar w:fldCharType="begin"/>
      </w:r>
      <w:r>
        <w:rPr>
          <w:color w:val="auto"/>
          <w:highlight w:val="none"/>
        </w:rPr>
        <w:instrText xml:space="preserve"> PAGEREF _Toc1786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_Toc15380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val="en-US" w:eastAsia="zh-CN"/>
        </w:rPr>
        <w:t>四、 商务要求</w:t>
      </w:r>
      <w:r>
        <w:rPr>
          <w:color w:val="auto"/>
          <w:highlight w:val="none"/>
        </w:rPr>
        <w:tab/>
      </w:r>
      <w:r>
        <w:rPr>
          <w:color w:val="auto"/>
          <w:highlight w:val="none"/>
        </w:rPr>
        <w:fldChar w:fldCharType="begin"/>
      </w:r>
      <w:r>
        <w:rPr>
          <w:color w:val="auto"/>
          <w:highlight w:val="none"/>
        </w:rPr>
        <w:instrText xml:space="preserve"> PAGEREF _Toc15380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_Toc24124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val="en-US" w:eastAsia="zh-CN"/>
        </w:rPr>
        <w:t xml:space="preserve">五、 </w:t>
      </w:r>
      <w:r>
        <w:rPr>
          <w:rFonts w:hint="eastAsia" w:cs="宋体"/>
          <w:color w:val="auto"/>
          <w:szCs w:val="24"/>
          <w:highlight w:val="none"/>
          <w:lang w:val="en-US" w:eastAsia="zh-CN"/>
        </w:rPr>
        <w:t>履约能力要求</w:t>
      </w:r>
      <w:r>
        <w:rPr>
          <w:color w:val="auto"/>
          <w:highlight w:val="none"/>
        </w:rPr>
        <w:tab/>
      </w:r>
      <w:r>
        <w:rPr>
          <w:color w:val="auto"/>
          <w:highlight w:val="none"/>
        </w:rPr>
        <w:fldChar w:fldCharType="begin"/>
      </w:r>
      <w:r>
        <w:rPr>
          <w:color w:val="auto"/>
          <w:highlight w:val="none"/>
        </w:rPr>
        <w:instrText xml:space="preserve"> PAGEREF _Toc24124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eastAsia="宋体" w:cs="宋体"/>
          <w:color w:val="auto"/>
          <w:highlight w:val="none"/>
        </w:rPr>
        <w:fldChar w:fldCharType="end"/>
      </w:r>
    </w:p>
    <w:p>
      <w:pPr>
        <w:pStyle w:val="16"/>
        <w:tabs>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_Toc6064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第七章 评标办法</w:t>
      </w:r>
      <w:r>
        <w:rPr>
          <w:color w:val="auto"/>
          <w:highlight w:val="none"/>
        </w:rPr>
        <w:tab/>
      </w:r>
      <w:r>
        <w:rPr>
          <w:color w:val="auto"/>
          <w:highlight w:val="none"/>
        </w:rPr>
        <w:fldChar w:fldCharType="begin"/>
      </w:r>
      <w:r>
        <w:rPr>
          <w:color w:val="auto"/>
          <w:highlight w:val="none"/>
        </w:rPr>
        <w:instrText xml:space="preserve"> PAGEREF _Toc6064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_Toc7883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总则</w:t>
      </w:r>
      <w:r>
        <w:rPr>
          <w:color w:val="auto"/>
          <w:highlight w:val="none"/>
        </w:rPr>
        <w:tab/>
      </w:r>
      <w:r>
        <w:rPr>
          <w:color w:val="auto"/>
          <w:highlight w:val="none"/>
        </w:rPr>
        <w:fldChar w:fldCharType="begin"/>
      </w:r>
      <w:r>
        <w:rPr>
          <w:color w:val="auto"/>
          <w:highlight w:val="none"/>
        </w:rPr>
        <w:instrText xml:space="preserve"> PAGEREF _Toc7883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_Toc31714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评标方法</w:t>
      </w:r>
      <w:r>
        <w:rPr>
          <w:color w:val="auto"/>
          <w:highlight w:val="none"/>
        </w:rPr>
        <w:tab/>
      </w:r>
      <w:r>
        <w:rPr>
          <w:color w:val="auto"/>
          <w:highlight w:val="none"/>
        </w:rPr>
        <w:fldChar w:fldCharType="begin"/>
      </w:r>
      <w:r>
        <w:rPr>
          <w:color w:val="auto"/>
          <w:highlight w:val="none"/>
        </w:rPr>
        <w:instrText xml:space="preserve"> PAGEREF _Toc31714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_Toc31954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 评标程序</w:t>
      </w:r>
      <w:r>
        <w:rPr>
          <w:color w:val="auto"/>
          <w:highlight w:val="none"/>
        </w:rPr>
        <w:tab/>
      </w:r>
      <w:r>
        <w:rPr>
          <w:color w:val="auto"/>
          <w:highlight w:val="none"/>
        </w:rPr>
        <w:fldChar w:fldCharType="begin"/>
      </w:r>
      <w:r>
        <w:rPr>
          <w:color w:val="auto"/>
          <w:highlight w:val="none"/>
        </w:rPr>
        <w:instrText xml:space="preserve"> PAGEREF _Toc31954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_Toc28488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 评标细则及标准</w:t>
      </w:r>
      <w:r>
        <w:rPr>
          <w:color w:val="auto"/>
          <w:highlight w:val="none"/>
        </w:rPr>
        <w:tab/>
      </w:r>
      <w:r>
        <w:rPr>
          <w:color w:val="auto"/>
          <w:highlight w:val="none"/>
        </w:rPr>
        <w:fldChar w:fldCharType="begin"/>
      </w:r>
      <w:r>
        <w:rPr>
          <w:color w:val="auto"/>
          <w:highlight w:val="none"/>
        </w:rPr>
        <w:instrText xml:space="preserve"> PAGEREF _Toc28488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_Toc4051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五、 复核</w:t>
      </w:r>
      <w:r>
        <w:rPr>
          <w:color w:val="auto"/>
          <w:highlight w:val="none"/>
        </w:rPr>
        <w:tab/>
      </w:r>
      <w:r>
        <w:rPr>
          <w:color w:val="auto"/>
          <w:highlight w:val="none"/>
        </w:rPr>
        <w:fldChar w:fldCharType="begin"/>
      </w:r>
      <w:r>
        <w:rPr>
          <w:color w:val="auto"/>
          <w:highlight w:val="none"/>
        </w:rPr>
        <w:instrText xml:space="preserve"> PAGEREF _Toc4051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_Toc28961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六、 推荐中标候选供应商</w:t>
      </w:r>
      <w:r>
        <w:rPr>
          <w:color w:val="auto"/>
          <w:highlight w:val="none"/>
        </w:rPr>
        <w:tab/>
      </w:r>
      <w:r>
        <w:rPr>
          <w:color w:val="auto"/>
          <w:highlight w:val="none"/>
        </w:rPr>
        <w:fldChar w:fldCharType="begin"/>
      </w:r>
      <w:r>
        <w:rPr>
          <w:color w:val="auto"/>
          <w:highlight w:val="none"/>
        </w:rPr>
        <w:instrText xml:space="preserve"> PAGEREF _Toc28961 \h </w:instrText>
      </w:r>
      <w:r>
        <w:rPr>
          <w:color w:val="auto"/>
          <w:highlight w:val="none"/>
        </w:rPr>
        <w:fldChar w:fldCharType="separate"/>
      </w:r>
      <w:r>
        <w:rPr>
          <w:color w:val="auto"/>
          <w:highlight w:val="none"/>
        </w:rPr>
        <w:t>77</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_Toc17497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七、 出具评标报告</w:t>
      </w:r>
      <w:r>
        <w:rPr>
          <w:color w:val="auto"/>
          <w:highlight w:val="none"/>
        </w:rPr>
        <w:tab/>
      </w:r>
      <w:r>
        <w:rPr>
          <w:color w:val="auto"/>
          <w:highlight w:val="none"/>
        </w:rPr>
        <w:fldChar w:fldCharType="begin"/>
      </w:r>
      <w:r>
        <w:rPr>
          <w:color w:val="auto"/>
          <w:highlight w:val="none"/>
        </w:rPr>
        <w:instrText xml:space="preserve"> PAGEREF _Toc17497 \h </w:instrText>
      </w:r>
      <w:r>
        <w:rPr>
          <w:color w:val="auto"/>
          <w:highlight w:val="none"/>
        </w:rPr>
        <w:fldChar w:fldCharType="separate"/>
      </w:r>
      <w:r>
        <w:rPr>
          <w:color w:val="auto"/>
          <w:highlight w:val="none"/>
        </w:rPr>
        <w:t>77</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_Toc25977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八、 废标</w:t>
      </w:r>
      <w:r>
        <w:rPr>
          <w:color w:val="auto"/>
          <w:highlight w:val="none"/>
        </w:rPr>
        <w:tab/>
      </w:r>
      <w:r>
        <w:rPr>
          <w:color w:val="auto"/>
          <w:highlight w:val="none"/>
        </w:rPr>
        <w:fldChar w:fldCharType="begin"/>
      </w:r>
      <w:r>
        <w:rPr>
          <w:color w:val="auto"/>
          <w:highlight w:val="none"/>
        </w:rPr>
        <w:instrText xml:space="preserve"> PAGEREF _Toc25977 \h </w:instrText>
      </w:r>
      <w:r>
        <w:rPr>
          <w:color w:val="auto"/>
          <w:highlight w:val="none"/>
        </w:rPr>
        <w:fldChar w:fldCharType="separate"/>
      </w:r>
      <w:r>
        <w:rPr>
          <w:color w:val="auto"/>
          <w:highlight w:val="none"/>
        </w:rPr>
        <w:t>78</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_Toc28975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九、 定标</w:t>
      </w:r>
      <w:r>
        <w:rPr>
          <w:color w:val="auto"/>
          <w:highlight w:val="none"/>
        </w:rPr>
        <w:tab/>
      </w:r>
      <w:r>
        <w:rPr>
          <w:color w:val="auto"/>
          <w:highlight w:val="none"/>
        </w:rPr>
        <w:fldChar w:fldCharType="begin"/>
      </w:r>
      <w:r>
        <w:rPr>
          <w:color w:val="auto"/>
          <w:highlight w:val="none"/>
        </w:rPr>
        <w:instrText xml:space="preserve"> PAGEREF _Toc28975 \h </w:instrText>
      </w:r>
      <w:r>
        <w:rPr>
          <w:color w:val="auto"/>
          <w:highlight w:val="none"/>
        </w:rPr>
        <w:fldChar w:fldCharType="separate"/>
      </w:r>
      <w:r>
        <w:rPr>
          <w:color w:val="auto"/>
          <w:highlight w:val="none"/>
        </w:rPr>
        <w:t>78</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_Toc639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十、 </w:t>
      </w:r>
      <w:r>
        <w:rPr>
          <w:rFonts w:hint="eastAsia" w:ascii="宋体" w:hAnsi="宋体" w:eastAsia="宋体" w:cs="宋体"/>
          <w:color w:val="auto"/>
          <w:highlight w:val="none"/>
          <w:lang w:eastAsia="zh-CN"/>
        </w:rPr>
        <w:t>评标专家</w:t>
      </w:r>
      <w:r>
        <w:rPr>
          <w:rFonts w:hint="eastAsia" w:ascii="宋体" w:hAnsi="宋体" w:eastAsia="宋体" w:cs="宋体"/>
          <w:color w:val="auto"/>
          <w:highlight w:val="none"/>
        </w:rPr>
        <w:t>在政府采购活动中承担以下义务</w:t>
      </w:r>
      <w:r>
        <w:rPr>
          <w:color w:val="auto"/>
          <w:highlight w:val="none"/>
        </w:rPr>
        <w:tab/>
      </w:r>
      <w:r>
        <w:rPr>
          <w:color w:val="auto"/>
          <w:highlight w:val="none"/>
        </w:rPr>
        <w:fldChar w:fldCharType="begin"/>
      </w:r>
      <w:r>
        <w:rPr>
          <w:color w:val="auto"/>
          <w:highlight w:val="none"/>
        </w:rPr>
        <w:instrText xml:space="preserve"> PAGEREF _Toc639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_Toc25994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十一、 </w:t>
      </w:r>
      <w:r>
        <w:rPr>
          <w:rFonts w:hint="eastAsia" w:ascii="宋体" w:hAnsi="宋体" w:eastAsia="宋体" w:cs="宋体"/>
          <w:color w:val="auto"/>
          <w:highlight w:val="none"/>
          <w:lang w:eastAsia="zh-CN"/>
        </w:rPr>
        <w:t>评标专家</w:t>
      </w:r>
      <w:r>
        <w:rPr>
          <w:rFonts w:hint="eastAsia" w:ascii="宋体" w:hAnsi="宋体" w:eastAsia="宋体" w:cs="宋体"/>
          <w:color w:val="auto"/>
          <w:highlight w:val="none"/>
        </w:rPr>
        <w:t>在政府采购活动中应当遵守以下工作纪律</w:t>
      </w:r>
      <w:r>
        <w:rPr>
          <w:color w:val="auto"/>
          <w:highlight w:val="none"/>
        </w:rPr>
        <w:tab/>
      </w:r>
      <w:r>
        <w:rPr>
          <w:color w:val="auto"/>
          <w:highlight w:val="none"/>
        </w:rPr>
        <w:fldChar w:fldCharType="begin"/>
      </w:r>
      <w:r>
        <w:rPr>
          <w:color w:val="auto"/>
          <w:highlight w:val="none"/>
        </w:rPr>
        <w:instrText xml:space="preserve"> PAGEREF _Toc25994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_Toc26803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十二、 评标委员会及其成员不得有下列行为</w:t>
      </w:r>
      <w:r>
        <w:rPr>
          <w:color w:val="auto"/>
          <w:highlight w:val="none"/>
        </w:rPr>
        <w:tab/>
      </w:r>
      <w:r>
        <w:rPr>
          <w:color w:val="auto"/>
          <w:highlight w:val="none"/>
        </w:rPr>
        <w:fldChar w:fldCharType="begin"/>
      </w:r>
      <w:r>
        <w:rPr>
          <w:color w:val="auto"/>
          <w:highlight w:val="none"/>
        </w:rPr>
        <w:instrText xml:space="preserve"> PAGEREF _Toc26803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_Toc6666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十三、 </w:t>
      </w:r>
      <w:r>
        <w:rPr>
          <w:rFonts w:hint="eastAsia" w:ascii="宋体" w:hAnsi="宋体" w:eastAsia="宋体" w:cs="宋体"/>
          <w:color w:val="auto"/>
          <w:highlight w:val="none"/>
          <w:lang w:val="en-US" w:eastAsia="zh-CN"/>
        </w:rPr>
        <w:t>评标委员会及其成员不得有下列违约情形</w:t>
      </w:r>
      <w:r>
        <w:rPr>
          <w:color w:val="auto"/>
          <w:highlight w:val="none"/>
        </w:rPr>
        <w:tab/>
      </w:r>
      <w:r>
        <w:rPr>
          <w:color w:val="auto"/>
          <w:highlight w:val="none"/>
        </w:rPr>
        <w:fldChar w:fldCharType="begin"/>
      </w:r>
      <w:r>
        <w:rPr>
          <w:color w:val="auto"/>
          <w:highlight w:val="none"/>
        </w:rPr>
        <w:instrText xml:space="preserve"> PAGEREF _Toc6666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color w:val="auto"/>
          <w:highlight w:val="none"/>
        </w:rPr>
        <w:fldChar w:fldCharType="end"/>
      </w:r>
    </w:p>
    <w:p>
      <w:pPr>
        <w:pStyle w:val="16"/>
        <w:tabs>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_Toc31619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第八章 政府采购合同</w:t>
      </w:r>
      <w:r>
        <w:rPr>
          <w:rFonts w:hint="eastAsia" w:ascii="宋体" w:hAnsi="宋体" w:eastAsia="宋体" w:cs="宋体"/>
          <w:color w:val="auto"/>
          <w:highlight w:val="none"/>
          <w:lang w:val="en-US" w:eastAsia="zh-CN"/>
        </w:rPr>
        <w:t>(参考文本)</w:t>
      </w:r>
      <w:r>
        <w:rPr>
          <w:color w:val="auto"/>
          <w:highlight w:val="none"/>
        </w:rPr>
        <w:tab/>
      </w:r>
      <w:r>
        <w:rPr>
          <w:color w:val="auto"/>
          <w:highlight w:val="none"/>
        </w:rPr>
        <w:fldChar w:fldCharType="begin"/>
      </w:r>
      <w:r>
        <w:rPr>
          <w:color w:val="auto"/>
          <w:highlight w:val="none"/>
        </w:rPr>
        <w:instrText xml:space="preserve"> PAGEREF _Toc31619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_Toc17614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Cs w:val="24"/>
          <w:highlight w:val="none"/>
          <w:lang w:val="en-US" w:eastAsia="zh-CN" w:bidi="ar-SA"/>
        </w:rPr>
        <w:t>一、 合同货物</w:t>
      </w:r>
      <w:r>
        <w:rPr>
          <w:color w:val="auto"/>
          <w:highlight w:val="none"/>
        </w:rPr>
        <w:tab/>
      </w:r>
      <w:r>
        <w:rPr>
          <w:color w:val="auto"/>
          <w:highlight w:val="none"/>
        </w:rPr>
        <w:fldChar w:fldCharType="begin"/>
      </w:r>
      <w:r>
        <w:rPr>
          <w:color w:val="auto"/>
          <w:highlight w:val="none"/>
        </w:rPr>
        <w:instrText xml:space="preserve"> PAGEREF _Toc17614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_Toc30010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 xml:space="preserve">二、 </w:t>
      </w:r>
      <w:r>
        <w:rPr>
          <w:rFonts w:hint="eastAsia" w:ascii="宋体" w:hAnsi="宋体" w:eastAsia="宋体" w:cs="宋体"/>
          <w:bCs/>
          <w:color w:val="auto"/>
          <w:kern w:val="2"/>
          <w:szCs w:val="24"/>
          <w:highlight w:val="none"/>
          <w:lang w:val="en-US" w:eastAsia="zh-CN" w:bidi="ar-SA"/>
        </w:rPr>
        <w:t>合同总价</w:t>
      </w:r>
      <w:r>
        <w:rPr>
          <w:color w:val="auto"/>
          <w:highlight w:val="none"/>
        </w:rPr>
        <w:tab/>
      </w:r>
      <w:r>
        <w:rPr>
          <w:color w:val="auto"/>
          <w:highlight w:val="none"/>
        </w:rPr>
        <w:fldChar w:fldCharType="begin"/>
      </w:r>
      <w:r>
        <w:rPr>
          <w:color w:val="auto"/>
          <w:highlight w:val="none"/>
        </w:rPr>
        <w:instrText xml:space="preserve"> PAGEREF _Toc30010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_Toc4798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Cs w:val="24"/>
          <w:highlight w:val="none"/>
          <w:lang w:val="en-US" w:eastAsia="zh-CN" w:bidi="ar-SA"/>
        </w:rPr>
        <w:t>三、项目技术参数要求</w:t>
      </w:r>
      <w:r>
        <w:rPr>
          <w:color w:val="auto"/>
          <w:highlight w:val="none"/>
        </w:rPr>
        <w:tab/>
      </w:r>
      <w:r>
        <w:rPr>
          <w:color w:val="auto"/>
          <w:highlight w:val="none"/>
        </w:rPr>
        <w:fldChar w:fldCharType="begin"/>
      </w:r>
      <w:r>
        <w:rPr>
          <w:color w:val="auto"/>
          <w:highlight w:val="none"/>
        </w:rPr>
        <w:instrText xml:space="preserve"> PAGEREF _Toc4798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_Toc584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Cs w:val="24"/>
          <w:highlight w:val="none"/>
          <w:lang w:val="en-US" w:eastAsia="zh-CN" w:bidi="ar-SA"/>
        </w:rPr>
        <w:t>四、包装、运输要求</w:t>
      </w:r>
      <w:r>
        <w:rPr>
          <w:color w:val="auto"/>
          <w:highlight w:val="none"/>
        </w:rPr>
        <w:tab/>
      </w:r>
      <w:r>
        <w:rPr>
          <w:color w:val="auto"/>
          <w:highlight w:val="none"/>
        </w:rPr>
        <w:fldChar w:fldCharType="begin"/>
      </w:r>
      <w:r>
        <w:rPr>
          <w:color w:val="auto"/>
          <w:highlight w:val="none"/>
        </w:rPr>
        <w:instrText xml:space="preserve"> PAGEREF _Toc584 \h </w:instrText>
      </w:r>
      <w:r>
        <w:rPr>
          <w:color w:val="auto"/>
          <w:highlight w:val="none"/>
        </w:rPr>
        <w:fldChar w:fldCharType="separate"/>
      </w:r>
      <w:r>
        <w:rPr>
          <w:color w:val="auto"/>
          <w:highlight w:val="none"/>
        </w:rPr>
        <w:t>85</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_Toc14724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Cs w:val="24"/>
          <w:highlight w:val="none"/>
          <w:lang w:val="en-US" w:eastAsia="zh-CN" w:bidi="ar-SA"/>
        </w:rPr>
        <w:t>五、质量及供货渠道要求</w:t>
      </w:r>
      <w:r>
        <w:rPr>
          <w:color w:val="auto"/>
          <w:highlight w:val="none"/>
        </w:rPr>
        <w:tab/>
      </w:r>
      <w:r>
        <w:rPr>
          <w:color w:val="auto"/>
          <w:highlight w:val="none"/>
        </w:rPr>
        <w:fldChar w:fldCharType="begin"/>
      </w:r>
      <w:r>
        <w:rPr>
          <w:color w:val="auto"/>
          <w:highlight w:val="none"/>
        </w:rPr>
        <w:instrText xml:space="preserve"> PAGEREF _Toc14724 \h </w:instrText>
      </w:r>
      <w:r>
        <w:rPr>
          <w:color w:val="auto"/>
          <w:highlight w:val="none"/>
        </w:rPr>
        <w:fldChar w:fldCharType="separate"/>
      </w:r>
      <w:r>
        <w:rPr>
          <w:color w:val="auto"/>
          <w:highlight w:val="none"/>
        </w:rPr>
        <w:t>85</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_Toc10482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Cs w:val="24"/>
          <w:highlight w:val="none"/>
          <w:lang w:val="en-US" w:eastAsia="zh-CN" w:bidi="ar-SA"/>
        </w:rPr>
        <w:t>六、安装调试要求</w:t>
      </w:r>
      <w:r>
        <w:rPr>
          <w:color w:val="auto"/>
          <w:highlight w:val="none"/>
        </w:rPr>
        <w:tab/>
      </w:r>
      <w:r>
        <w:rPr>
          <w:color w:val="auto"/>
          <w:highlight w:val="none"/>
        </w:rPr>
        <w:fldChar w:fldCharType="begin"/>
      </w:r>
      <w:r>
        <w:rPr>
          <w:color w:val="auto"/>
          <w:highlight w:val="none"/>
        </w:rPr>
        <w:instrText xml:space="preserve"> PAGEREF _Toc10482 \h </w:instrText>
      </w:r>
      <w:r>
        <w:rPr>
          <w:color w:val="auto"/>
          <w:highlight w:val="none"/>
        </w:rPr>
        <w:fldChar w:fldCharType="separate"/>
      </w:r>
      <w:r>
        <w:rPr>
          <w:color w:val="auto"/>
          <w:highlight w:val="none"/>
        </w:rPr>
        <w:t>85</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_Toc26417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Cs w:val="24"/>
          <w:highlight w:val="none"/>
          <w:lang w:val="en-US" w:eastAsia="zh-CN" w:bidi="ar-SA"/>
        </w:rPr>
        <w:t>七、售后服务及要求</w:t>
      </w:r>
      <w:r>
        <w:rPr>
          <w:color w:val="auto"/>
          <w:highlight w:val="none"/>
        </w:rPr>
        <w:tab/>
      </w:r>
      <w:r>
        <w:rPr>
          <w:color w:val="auto"/>
          <w:highlight w:val="none"/>
        </w:rPr>
        <w:fldChar w:fldCharType="begin"/>
      </w:r>
      <w:r>
        <w:rPr>
          <w:color w:val="auto"/>
          <w:highlight w:val="none"/>
        </w:rPr>
        <w:instrText xml:space="preserve"> PAGEREF _Toc26417 \h </w:instrText>
      </w:r>
      <w:r>
        <w:rPr>
          <w:color w:val="auto"/>
          <w:highlight w:val="none"/>
        </w:rPr>
        <w:fldChar w:fldCharType="separate"/>
      </w:r>
      <w:r>
        <w:rPr>
          <w:color w:val="auto"/>
          <w:highlight w:val="none"/>
        </w:rPr>
        <w:t>85</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_Toc25353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Cs w:val="24"/>
          <w:highlight w:val="none"/>
          <w:lang w:val="en-US" w:eastAsia="zh-CN" w:bidi="ar-SA"/>
        </w:rPr>
        <w:t>八、交货的时间</w:t>
      </w:r>
      <w:r>
        <w:rPr>
          <w:color w:val="auto"/>
          <w:highlight w:val="none"/>
        </w:rPr>
        <w:tab/>
      </w:r>
      <w:r>
        <w:rPr>
          <w:color w:val="auto"/>
          <w:highlight w:val="none"/>
        </w:rPr>
        <w:fldChar w:fldCharType="begin"/>
      </w:r>
      <w:r>
        <w:rPr>
          <w:color w:val="auto"/>
          <w:highlight w:val="none"/>
        </w:rPr>
        <w:instrText xml:space="preserve"> PAGEREF _Toc25353 \h </w:instrText>
      </w:r>
      <w:r>
        <w:rPr>
          <w:color w:val="auto"/>
          <w:highlight w:val="none"/>
        </w:rPr>
        <w:fldChar w:fldCharType="separate"/>
      </w:r>
      <w:r>
        <w:rPr>
          <w:color w:val="auto"/>
          <w:highlight w:val="none"/>
        </w:rPr>
        <w:t>86</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_Toc30519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Cs w:val="24"/>
          <w:highlight w:val="none"/>
          <w:lang w:val="en-US" w:eastAsia="zh-CN" w:bidi="ar-SA"/>
        </w:rPr>
        <w:t>九、合同价款支付方式和条件</w:t>
      </w:r>
      <w:r>
        <w:rPr>
          <w:color w:val="auto"/>
          <w:highlight w:val="none"/>
        </w:rPr>
        <w:tab/>
      </w:r>
      <w:r>
        <w:rPr>
          <w:color w:val="auto"/>
          <w:highlight w:val="none"/>
        </w:rPr>
        <w:fldChar w:fldCharType="begin"/>
      </w:r>
      <w:r>
        <w:rPr>
          <w:color w:val="auto"/>
          <w:highlight w:val="none"/>
        </w:rPr>
        <w:instrText xml:space="preserve"> PAGEREF _Toc30519 \h </w:instrText>
      </w:r>
      <w:r>
        <w:rPr>
          <w:color w:val="auto"/>
          <w:highlight w:val="none"/>
        </w:rPr>
        <w:fldChar w:fldCharType="separate"/>
      </w:r>
      <w:r>
        <w:rPr>
          <w:color w:val="auto"/>
          <w:highlight w:val="none"/>
        </w:rPr>
        <w:t>86</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_Toc24897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Cs w:val="24"/>
          <w:highlight w:val="none"/>
          <w:lang w:val="en-US" w:eastAsia="zh-CN" w:bidi="ar-SA"/>
        </w:rPr>
        <w:t>十、验收标准和方法</w:t>
      </w:r>
      <w:r>
        <w:rPr>
          <w:color w:val="auto"/>
          <w:highlight w:val="none"/>
        </w:rPr>
        <w:tab/>
      </w:r>
      <w:r>
        <w:rPr>
          <w:color w:val="auto"/>
          <w:highlight w:val="none"/>
        </w:rPr>
        <w:fldChar w:fldCharType="begin"/>
      </w:r>
      <w:r>
        <w:rPr>
          <w:color w:val="auto"/>
          <w:highlight w:val="none"/>
        </w:rPr>
        <w:instrText xml:space="preserve"> PAGEREF _Toc24897 \h </w:instrText>
      </w:r>
      <w:r>
        <w:rPr>
          <w:color w:val="auto"/>
          <w:highlight w:val="none"/>
        </w:rPr>
        <w:fldChar w:fldCharType="separate"/>
      </w:r>
      <w:r>
        <w:rPr>
          <w:color w:val="auto"/>
          <w:highlight w:val="none"/>
        </w:rPr>
        <w:t>86</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_Toc13908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Cs w:val="24"/>
          <w:highlight w:val="none"/>
          <w:lang w:val="en-US" w:eastAsia="zh-CN" w:bidi="ar-SA"/>
        </w:rPr>
        <w:t>十一、违约责任</w:t>
      </w:r>
      <w:r>
        <w:rPr>
          <w:color w:val="auto"/>
          <w:highlight w:val="none"/>
        </w:rPr>
        <w:tab/>
      </w:r>
      <w:r>
        <w:rPr>
          <w:color w:val="auto"/>
          <w:highlight w:val="none"/>
        </w:rPr>
        <w:fldChar w:fldCharType="begin"/>
      </w:r>
      <w:r>
        <w:rPr>
          <w:color w:val="auto"/>
          <w:highlight w:val="none"/>
        </w:rPr>
        <w:instrText xml:space="preserve"> PAGEREF _Toc13908 \h </w:instrText>
      </w:r>
      <w:r>
        <w:rPr>
          <w:color w:val="auto"/>
          <w:highlight w:val="none"/>
        </w:rPr>
        <w:fldChar w:fldCharType="separate"/>
      </w:r>
      <w:r>
        <w:rPr>
          <w:color w:val="auto"/>
          <w:highlight w:val="none"/>
        </w:rPr>
        <w:t>86</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746"/>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_Toc10425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Cs w:val="24"/>
          <w:highlight w:val="none"/>
          <w:lang w:val="en-US" w:eastAsia="zh-CN" w:bidi="ar-SA"/>
        </w:rPr>
        <w:t>十二、解决争议的方式</w:t>
      </w:r>
      <w:r>
        <w:rPr>
          <w:color w:val="auto"/>
          <w:highlight w:val="none"/>
        </w:rPr>
        <w:tab/>
      </w:r>
      <w:r>
        <w:rPr>
          <w:color w:val="auto"/>
          <w:highlight w:val="none"/>
        </w:rPr>
        <w:fldChar w:fldCharType="begin"/>
      </w:r>
      <w:r>
        <w:rPr>
          <w:color w:val="auto"/>
          <w:highlight w:val="none"/>
        </w:rPr>
        <w:instrText xml:space="preserve"> PAGEREF _Toc10425 \h </w:instrText>
      </w:r>
      <w:r>
        <w:rPr>
          <w:color w:val="auto"/>
          <w:highlight w:val="none"/>
        </w:rPr>
        <w:fldChar w:fldCharType="separate"/>
      </w:r>
      <w:r>
        <w:rPr>
          <w:color w:val="auto"/>
          <w:highlight w:val="none"/>
        </w:rPr>
        <w:t>87</w:t>
      </w:r>
      <w:r>
        <w:rPr>
          <w:color w:val="auto"/>
          <w:highlight w:val="none"/>
        </w:rPr>
        <w:fldChar w:fldCharType="end"/>
      </w:r>
      <w:r>
        <w:rPr>
          <w:rFonts w:hint="eastAsia" w:ascii="宋体" w:hAnsi="宋体" w:eastAsia="宋体" w:cs="宋体"/>
          <w:color w:val="auto"/>
          <w:highlight w:val="none"/>
        </w:rPr>
        <w:fldChar w:fldCharType="end"/>
      </w:r>
    </w:p>
    <w:p>
      <w:pPr>
        <w:pStyle w:val="16"/>
        <w:tabs>
          <w:tab w:val="clear" w:pos="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_Toc15139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第九章 附件</w:t>
      </w:r>
      <w:r>
        <w:rPr>
          <w:color w:val="auto"/>
          <w:highlight w:val="none"/>
        </w:rPr>
        <w:tab/>
      </w:r>
      <w:r>
        <w:rPr>
          <w:color w:val="auto"/>
          <w:highlight w:val="none"/>
        </w:rPr>
        <w:fldChar w:fldCharType="begin"/>
      </w:r>
      <w:r>
        <w:rPr>
          <w:color w:val="auto"/>
          <w:highlight w:val="none"/>
        </w:rPr>
        <w:instrText xml:space="preserve"> PAGEREF _Toc15139 \h </w:instrText>
      </w:r>
      <w:r>
        <w:rPr>
          <w:color w:val="auto"/>
          <w:highlight w:val="none"/>
        </w:rPr>
        <w:fldChar w:fldCharType="separate"/>
      </w:r>
      <w:r>
        <w:rPr>
          <w:color w:val="auto"/>
          <w:highlight w:val="none"/>
        </w:rPr>
        <w:t>89</w:t>
      </w:r>
      <w:r>
        <w:rPr>
          <w:color w:val="auto"/>
          <w:highlight w:val="none"/>
        </w:rPr>
        <w:fldChar w:fldCharType="end"/>
      </w:r>
      <w:r>
        <w:rPr>
          <w:rFonts w:hint="eastAsia" w:ascii="宋体" w:hAnsi="宋体" w:eastAsia="宋体" w:cs="宋体"/>
          <w:color w:val="auto"/>
          <w:highlight w:val="none"/>
        </w:rPr>
        <w:fldChar w:fldCharType="end"/>
      </w:r>
    </w:p>
    <w:p>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pPr>
        <w:pStyle w:val="24"/>
        <w:bidi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2"/>
      <w:bookmarkEnd w:id="9"/>
      <w:bookmarkEnd w:id="10"/>
      <w:bookmarkStart w:id="12" w:name="_Toc10676"/>
      <w:bookmarkStart w:id="13" w:name="_Toc9731"/>
      <w:bookmarkStart w:id="14" w:name="_Toc213396759"/>
      <w:bookmarkStart w:id="15" w:name="_Toc213496267"/>
      <w:bookmarkStart w:id="16" w:name="_Toc213396945"/>
      <w:bookmarkStart w:id="17" w:name="_Toc217446031"/>
      <w:bookmarkStart w:id="18" w:name="_Toc213397009"/>
      <w:r>
        <w:rPr>
          <w:rFonts w:hint="eastAsia" w:ascii="宋体" w:hAnsi="宋体" w:eastAsia="宋体" w:cs="宋体"/>
          <w:color w:val="auto"/>
          <w:highlight w:val="none"/>
        </w:rPr>
        <w:t>投标邀请</w:t>
      </w:r>
      <w:bookmarkEnd w:id="11"/>
      <w:bookmarkEnd w:id="12"/>
      <w:bookmarkEnd w:id="13"/>
    </w:p>
    <w:p>
      <w:pPr>
        <w:pStyle w:val="2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四川乾新招投标代理有限公司</w:t>
      </w:r>
      <w:r>
        <w:rPr>
          <w:rFonts w:hint="eastAsia" w:ascii="宋体" w:hAnsi="宋体" w:eastAsia="宋体" w:cs="宋体"/>
          <w:color w:val="auto"/>
          <w:highlight w:val="none"/>
        </w:rPr>
        <w:t>受</w:t>
      </w:r>
      <w:r>
        <w:rPr>
          <w:rFonts w:hint="eastAsia" w:ascii="宋体" w:hAnsi="宋体" w:eastAsia="宋体" w:cs="宋体"/>
          <w:color w:val="auto"/>
          <w:highlight w:val="none"/>
          <w:lang w:val="en-US" w:eastAsia="zh-CN"/>
        </w:rPr>
        <w:t>成都市技师学院</w:t>
      </w:r>
      <w:r>
        <w:rPr>
          <w:rFonts w:hint="eastAsia" w:ascii="宋体" w:hAnsi="宋体" w:eastAsia="宋体" w:cs="宋体"/>
          <w:color w:val="auto"/>
          <w:highlight w:val="none"/>
        </w:rPr>
        <w:t>的委托，拟对</w:t>
      </w:r>
      <w:r>
        <w:rPr>
          <w:rFonts w:hint="eastAsia" w:ascii="宋体" w:hAnsi="宋体" w:eastAsia="宋体" w:cs="宋体"/>
          <w:color w:val="auto"/>
          <w:highlight w:val="none"/>
          <w:lang w:val="en-US" w:eastAsia="zh-CN"/>
        </w:rPr>
        <w:t>成都市技师学院(成都工贸职业技术学院)2021年度纸质图书采购项目</w:t>
      </w:r>
      <w:r>
        <w:rPr>
          <w:rFonts w:hint="eastAsia" w:ascii="宋体" w:hAnsi="宋体" w:eastAsia="宋体" w:cs="宋体"/>
          <w:color w:val="auto"/>
          <w:highlight w:val="none"/>
        </w:rPr>
        <w:t>进行国内公开招标，兹邀请符合本次招标要求的供应商参加投标。</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项目编号：</w:t>
      </w:r>
      <w:r>
        <w:rPr>
          <w:rFonts w:hint="eastAsia" w:ascii="宋体" w:hAnsi="宋体" w:eastAsia="宋体" w:cs="宋体"/>
          <w:b/>
          <w:bCs/>
          <w:color w:val="auto"/>
          <w:highlight w:val="none"/>
        </w:rPr>
        <w:tab/>
      </w:r>
      <w:r>
        <w:rPr>
          <w:rFonts w:hint="eastAsia" w:ascii="宋体" w:hAnsi="宋体" w:eastAsia="宋体" w:cs="宋体"/>
          <w:b/>
          <w:bCs/>
          <w:color w:val="auto"/>
          <w:highlight w:val="none"/>
        </w:rPr>
        <w:t>510101202100170</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项目名称：</w:t>
      </w:r>
      <w:r>
        <w:rPr>
          <w:rFonts w:hint="eastAsia" w:ascii="宋体" w:hAnsi="宋体" w:eastAsia="宋体" w:cs="宋体"/>
          <w:color w:val="auto"/>
          <w:highlight w:val="none"/>
          <w:lang w:val="en-US" w:eastAsia="zh-CN"/>
        </w:rPr>
        <w:t>成都市技师学院(成都工贸职业技术学院)2021年度纸质图书采购项目</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资金来源</w:t>
      </w:r>
      <w:r>
        <w:rPr>
          <w:rFonts w:hint="eastAsia" w:ascii="宋体" w:hAnsi="宋体" w:eastAsia="宋体" w:cs="宋体"/>
          <w:b/>
          <w:bCs/>
          <w:color w:val="auto"/>
          <w:highlight w:val="none"/>
        </w:rPr>
        <w:t>：</w:t>
      </w:r>
      <w:r>
        <w:rPr>
          <w:rFonts w:hint="eastAsia" w:ascii="宋体" w:hAnsi="宋体" w:eastAsia="宋体" w:cs="宋体"/>
          <w:color w:val="auto"/>
          <w:highlight w:val="none"/>
        </w:rPr>
        <w:t>财政资金</w:t>
      </w:r>
      <w:r>
        <w:rPr>
          <w:rFonts w:hint="eastAsia" w:ascii="宋体" w:hAnsi="宋体" w:eastAsia="宋体" w:cs="宋体"/>
          <w:color w:val="auto"/>
          <w:highlight w:val="none"/>
          <w:lang w:val="en-US" w:eastAsia="zh-CN"/>
        </w:rPr>
        <w:t>已落实</w:t>
      </w:r>
      <w:r>
        <w:rPr>
          <w:rFonts w:hint="eastAsia" w:ascii="宋体" w:hAnsi="宋体" w:eastAsia="宋体" w:cs="宋体"/>
          <w:color w:val="auto"/>
          <w:highlight w:val="none"/>
        </w:rPr>
        <w:t>，本次采购预算为</w:t>
      </w:r>
      <w:r>
        <w:rPr>
          <w:rFonts w:hint="eastAsia" w:ascii="宋体" w:hAnsi="宋体" w:eastAsia="宋体" w:cs="宋体"/>
          <w:color w:val="auto"/>
          <w:highlight w:val="none"/>
          <w:lang w:val="en-US" w:eastAsia="zh-CN"/>
        </w:rPr>
        <w:t>1330000</w:t>
      </w:r>
      <w:r>
        <w:rPr>
          <w:rFonts w:hint="eastAsia" w:ascii="宋体" w:hAnsi="宋体" w:eastAsia="宋体" w:cs="宋体"/>
          <w:color w:val="auto"/>
          <w:highlight w:val="none"/>
        </w:rPr>
        <w:t>元；备案号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(2021)1180号。</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招标项目简介：</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(一)采购内容：</w:t>
      </w:r>
      <w:r>
        <w:rPr>
          <w:rFonts w:hint="eastAsia" w:ascii="宋体" w:hAnsi="宋体" w:eastAsia="宋体" w:cs="宋体"/>
          <w:color w:val="auto"/>
          <w:highlight w:val="none"/>
          <w:lang w:val="en-US" w:eastAsia="zh-CN"/>
        </w:rPr>
        <w:t>专业图书、文艺通识类图书，</w:t>
      </w:r>
      <w:r>
        <w:rPr>
          <w:rFonts w:hint="eastAsia" w:ascii="宋体" w:hAnsi="宋体" w:eastAsia="宋体" w:cs="宋体"/>
          <w:color w:val="auto"/>
          <w:highlight w:val="none"/>
        </w:rPr>
        <w:t>共计1个包，</w:t>
      </w:r>
      <w:r>
        <w:rPr>
          <w:rFonts w:hint="eastAsia" w:ascii="宋体" w:hAnsi="宋体" w:eastAsia="宋体" w:cs="宋体"/>
          <w:color w:val="auto"/>
          <w:highlight w:val="none"/>
          <w:lang w:val="en-US" w:eastAsia="zh-CN"/>
        </w:rPr>
        <w:t>设置1名中标人</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具体</w:t>
      </w:r>
      <w:r>
        <w:rPr>
          <w:rFonts w:hint="eastAsia" w:ascii="宋体" w:hAnsi="宋体" w:eastAsia="宋体" w:cs="宋体"/>
          <w:color w:val="auto"/>
          <w:highlight w:val="none"/>
        </w:rPr>
        <w:t>详见招标文件第六章。</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(二)采购用途：</w:t>
      </w:r>
      <w:r>
        <w:rPr>
          <w:rFonts w:hint="eastAsia" w:ascii="宋体" w:hAnsi="宋体" w:eastAsia="宋体" w:cs="宋体"/>
          <w:b w:val="0"/>
          <w:bCs w:val="0"/>
          <w:color w:val="auto"/>
          <w:highlight w:val="none"/>
          <w:lang w:val="en-US" w:eastAsia="zh-CN"/>
        </w:rPr>
        <w:t>用于丰富馆藏文献资源，保障全院师生教研学习的需要</w:t>
      </w:r>
      <w:r>
        <w:rPr>
          <w:rFonts w:hint="eastAsia" w:ascii="宋体" w:hAnsi="宋体" w:eastAsia="宋体" w:cs="宋体"/>
          <w:color w:val="auto"/>
          <w:highlight w:val="none"/>
          <w:lang w:val="en-US" w:eastAsia="zh-CN"/>
        </w:rPr>
        <w:t>。</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(三)项目性质：</w:t>
      </w:r>
      <w:r>
        <w:rPr>
          <w:rFonts w:hint="eastAsia" w:ascii="宋体" w:hAnsi="宋体" w:eastAsia="宋体" w:cs="宋体"/>
          <w:color w:val="auto"/>
          <w:highlight w:val="none"/>
          <w:lang w:val="en-US" w:eastAsia="zh-CN"/>
        </w:rPr>
        <w:t>政府采购。</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供应商参加本次政府采购活动应具备下列条件：</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lang w:val="zh-CN"/>
        </w:rPr>
        <w:t>符合《中华人民共和国政府采购法》第二十二条规定的条件：</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具有独立承担</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"http://www.lawtime.cn/info/minfa/mszeren/" \t "_blank"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民事责任</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的能力；</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具有良好的商业信誉和健全的财务会计制度；</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具有履行合同所必需的设备和专业技术能力；</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4.有依法缴纳税收和</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"http://www.lawtime.cn/info/laodong/shehuibaozhang/" \t "_blank"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社会保障</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资金的良好记录；</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5.参加政府采购活动前三年内，在经营活动中没有重大违法记录；</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6.法律、</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"http://www.lawtime.cn/info/sifakaoshi/xingzhengfa/" \t "_blank"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行政法</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规规定的其他条件；</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lang w:val="zh-CN"/>
        </w:rPr>
        <w:t>本项目的特定资格要求：</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sz w:val="24"/>
          <w:highlight w:val="none"/>
          <w:lang w:val="en-US" w:eastAsia="zh-CN"/>
        </w:rPr>
        <w:t>具有国家行政主管部门颁发的《中华人民共和国出版物经营许可证》；</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2.本项目不接受联合体投标。</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禁止参加本次采购活动的供应商</w:t>
      </w:r>
    </w:p>
    <w:p>
      <w:pPr>
        <w:pStyle w:val="38"/>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auto"/>
          <w:highlight w:val="none"/>
          <w:lang w:val="en-US" w:eastAsia="zh-CN"/>
        </w:rPr>
      </w:pPr>
      <w:bookmarkStart w:id="19" w:name="PO_默认文件内容_4"/>
      <w:r>
        <w:rPr>
          <w:rFonts w:hint="eastAsia" w:ascii="宋体" w:hAnsi="宋体" w:eastAsia="宋体" w:cs="宋体"/>
          <w:color w:val="auto"/>
          <w:highlight w:val="none"/>
          <w:lang w:val="en-US" w:eastAsia="zh-CN"/>
        </w:rPr>
        <w:t>根据《关于在政府采购活动中查询及使用信用记录有关问题的通知》(财库〔2016〕125号)的要求，采购代理机构将通过“信用中国”网站(www.creditchina.gov.cn)、“中国政府采购网”网站(www.ccgp.gov.cn)等渠道查询供应商在投标文件递交截止日前的信用记录并保存信用记录结果网页截图，拒绝列入失信被执行人名单、重大税收违法案件当事人名单、政府采购严重违法失信行为记录名单中的供应商报名参加本项目的采购活动。</w:t>
      </w:r>
    </w:p>
    <w:bookmarkEnd w:id="19"/>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获取招标文件的时间期限、地点、方式及招标文件售价</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color w:val="auto"/>
          <w:highlight w:val="none"/>
          <w:lang w:val="zh-CN"/>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获取招标文件的时间期限(即报名时间)</w:t>
      </w:r>
      <w:r>
        <w:rPr>
          <w:rFonts w:hint="eastAsia" w:ascii="宋体" w:hAnsi="宋体" w:eastAsia="宋体" w:cs="宋体"/>
          <w:color w:val="auto"/>
          <w:highlight w:val="none"/>
        </w:rPr>
        <w:t>：</w:t>
      </w:r>
      <w:r>
        <w:rPr>
          <w:rFonts w:hint="eastAsia" w:ascii="宋体" w:hAnsi="宋体" w:eastAsia="宋体" w:cs="宋体"/>
          <w:color w:val="auto"/>
          <w:highlight w:val="none"/>
          <w:u w:val="single"/>
          <w:lang w:eastAsia="zh-CN"/>
        </w:rPr>
        <w:t>202</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lang w:eastAsia="zh-CN"/>
        </w:rPr>
        <w:t>年</w:t>
      </w:r>
      <w:r>
        <w:rPr>
          <w:rFonts w:hint="eastAsia" w:cs="宋体"/>
          <w:color w:val="auto"/>
          <w:highlight w:val="none"/>
          <w:u w:val="single"/>
          <w:lang w:val="en-US" w:eastAsia="zh-CN"/>
        </w:rPr>
        <w:t>4</w:t>
      </w:r>
      <w:r>
        <w:rPr>
          <w:rFonts w:hint="eastAsia" w:ascii="宋体" w:hAnsi="宋体" w:eastAsia="宋体" w:cs="宋体"/>
          <w:color w:val="auto"/>
          <w:highlight w:val="none"/>
          <w:u w:val="single"/>
          <w:lang w:eastAsia="zh-CN"/>
        </w:rPr>
        <w:t>月</w:t>
      </w:r>
      <w:r>
        <w:rPr>
          <w:rFonts w:hint="eastAsia" w:cs="宋体"/>
          <w:color w:val="auto"/>
          <w:highlight w:val="none"/>
          <w:u w:val="single"/>
          <w:lang w:val="en-US" w:eastAsia="zh-CN"/>
        </w:rPr>
        <w:t>25</w:t>
      </w:r>
      <w:r>
        <w:rPr>
          <w:rFonts w:hint="eastAsia" w:ascii="宋体" w:hAnsi="宋体" w:eastAsia="宋体" w:cs="宋体"/>
          <w:color w:val="auto"/>
          <w:highlight w:val="none"/>
          <w:u w:val="single"/>
          <w:lang w:eastAsia="zh-CN"/>
        </w:rPr>
        <w:t>日至202</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lang w:eastAsia="zh-CN"/>
        </w:rPr>
        <w:t>年</w:t>
      </w:r>
      <w:r>
        <w:rPr>
          <w:rFonts w:hint="eastAsia" w:cs="宋体"/>
          <w:color w:val="auto"/>
          <w:highlight w:val="none"/>
          <w:u w:val="single"/>
          <w:lang w:val="en-US" w:eastAsia="zh-CN"/>
        </w:rPr>
        <w:t>4</w:t>
      </w:r>
      <w:r>
        <w:rPr>
          <w:rFonts w:hint="eastAsia" w:ascii="宋体" w:hAnsi="宋体" w:eastAsia="宋体" w:cs="宋体"/>
          <w:color w:val="auto"/>
          <w:highlight w:val="none"/>
          <w:u w:val="single"/>
          <w:lang w:eastAsia="zh-CN"/>
        </w:rPr>
        <w:t>月</w:t>
      </w:r>
      <w:r>
        <w:rPr>
          <w:rFonts w:hint="eastAsia" w:cs="宋体"/>
          <w:color w:val="auto"/>
          <w:highlight w:val="none"/>
          <w:u w:val="single"/>
          <w:lang w:val="en-US" w:eastAsia="zh-CN"/>
        </w:rPr>
        <w:t>29</w:t>
      </w:r>
      <w:r>
        <w:rPr>
          <w:rFonts w:hint="eastAsia" w:ascii="宋体" w:hAnsi="宋体" w:eastAsia="宋体" w:cs="宋体"/>
          <w:color w:val="auto"/>
          <w:highlight w:val="none"/>
          <w:u w:val="single"/>
          <w:lang w:eastAsia="zh-CN"/>
        </w:rPr>
        <w:t>日，每天上午9时00分至12时00分，下午</w:t>
      </w:r>
      <w:r>
        <w:rPr>
          <w:rFonts w:hint="eastAsia" w:ascii="宋体" w:hAnsi="宋体" w:eastAsia="宋体" w:cs="宋体"/>
          <w:color w:val="auto"/>
          <w:highlight w:val="none"/>
          <w:u w:val="single"/>
          <w:lang w:val="en-US" w:eastAsia="zh-CN"/>
        </w:rPr>
        <w:t>14</w:t>
      </w:r>
      <w:r>
        <w:rPr>
          <w:rFonts w:hint="eastAsia" w:ascii="宋体" w:hAnsi="宋体" w:eastAsia="宋体" w:cs="宋体"/>
          <w:color w:val="auto"/>
          <w:highlight w:val="none"/>
          <w:u w:val="single"/>
          <w:lang w:eastAsia="zh-CN"/>
        </w:rPr>
        <w:t>时</w:t>
      </w:r>
      <w:r>
        <w:rPr>
          <w:rFonts w:hint="eastAsia" w:ascii="宋体" w:hAnsi="宋体" w:eastAsia="宋体" w:cs="宋体"/>
          <w:color w:val="auto"/>
          <w:highlight w:val="none"/>
          <w:u w:val="single"/>
          <w:lang w:val="en-US" w:eastAsia="zh-CN"/>
        </w:rPr>
        <w:t>00</w:t>
      </w:r>
      <w:r>
        <w:rPr>
          <w:rFonts w:hint="eastAsia" w:ascii="宋体" w:hAnsi="宋体" w:eastAsia="宋体" w:cs="宋体"/>
          <w:color w:val="auto"/>
          <w:highlight w:val="none"/>
          <w:u w:val="single"/>
          <w:lang w:eastAsia="zh-CN"/>
        </w:rPr>
        <w:t>分至</w:t>
      </w:r>
      <w:r>
        <w:rPr>
          <w:rFonts w:hint="eastAsia" w:ascii="宋体" w:hAnsi="宋体" w:eastAsia="宋体" w:cs="宋体"/>
          <w:color w:val="auto"/>
          <w:highlight w:val="none"/>
          <w:u w:val="single"/>
          <w:lang w:val="en-US" w:eastAsia="zh-CN"/>
        </w:rPr>
        <w:t>17</w:t>
      </w:r>
      <w:r>
        <w:rPr>
          <w:rFonts w:hint="eastAsia" w:ascii="宋体" w:hAnsi="宋体" w:eastAsia="宋体" w:cs="宋体"/>
          <w:color w:val="auto"/>
          <w:highlight w:val="none"/>
          <w:u w:val="single"/>
          <w:lang w:eastAsia="zh-CN"/>
        </w:rPr>
        <w:t>时</w:t>
      </w:r>
      <w:r>
        <w:rPr>
          <w:rFonts w:hint="eastAsia" w:ascii="宋体" w:hAnsi="宋体" w:eastAsia="宋体" w:cs="宋体"/>
          <w:color w:val="auto"/>
          <w:highlight w:val="none"/>
          <w:u w:val="single"/>
          <w:lang w:val="en-US" w:eastAsia="zh-CN"/>
        </w:rPr>
        <w:t>00</w:t>
      </w:r>
      <w:r>
        <w:rPr>
          <w:rFonts w:hint="eastAsia" w:ascii="宋体" w:hAnsi="宋体" w:eastAsia="宋体" w:cs="宋体"/>
          <w:color w:val="auto"/>
          <w:highlight w:val="none"/>
          <w:u w:val="single"/>
          <w:lang w:eastAsia="zh-CN"/>
        </w:rPr>
        <w:t>分(北京时间，法定节假日除外)。</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color w:val="auto"/>
          <w:highlight w:val="none"/>
          <w:lang w:val="zh-CN"/>
        </w:rPr>
      </w:pPr>
      <w:r>
        <w:rPr>
          <w:rFonts w:hint="eastAsia" w:ascii="宋体" w:hAnsi="宋体" w:eastAsia="宋体" w:cs="宋体"/>
          <w:b/>
          <w:bCs/>
          <w:color w:val="auto"/>
          <w:highlight w:val="none"/>
          <w:lang w:val="en-US" w:eastAsia="zh-CN"/>
        </w:rPr>
        <w:t>(二)</w:t>
      </w:r>
      <w:r>
        <w:rPr>
          <w:rFonts w:hint="eastAsia" w:ascii="宋体" w:hAnsi="宋体" w:eastAsia="宋体" w:cs="宋体"/>
          <w:b/>
          <w:bCs/>
          <w:color w:val="auto"/>
          <w:highlight w:val="none"/>
        </w:rPr>
        <w:t>获取招标文件的地点</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四川乾新招投标代理有限公司</w:t>
      </w:r>
      <w:r>
        <w:rPr>
          <w:rFonts w:hint="eastAsia" w:ascii="宋体" w:hAnsi="宋体" w:eastAsia="宋体" w:cs="宋体"/>
          <w:color w:val="auto"/>
          <w:highlight w:val="none"/>
          <w:lang w:val="en-US" w:eastAsia="zh-CN"/>
        </w:rPr>
        <w:t>(</w:t>
      </w:r>
      <w:r>
        <w:rPr>
          <w:rFonts w:hint="eastAsia" w:ascii="宋体" w:hAnsi="宋体" w:eastAsia="宋体" w:cs="宋体"/>
          <w:b/>
          <w:bCs/>
          <w:color w:val="auto"/>
          <w:highlight w:val="none"/>
          <w:lang w:eastAsia="zh-CN"/>
        </w:rPr>
        <w:t>http：//</w:t>
      </w:r>
      <w:r>
        <w:rPr>
          <w:rFonts w:hint="eastAsia" w:ascii="宋体" w:hAnsi="宋体" w:eastAsia="宋体" w:cs="宋体"/>
          <w:b/>
          <w:bCs/>
          <w:color w:val="auto"/>
          <w:highlight w:val="none"/>
          <w:lang w:val="en-US" w:eastAsia="zh-CN"/>
        </w:rPr>
        <w:t>www.</w:t>
      </w:r>
      <w:r>
        <w:rPr>
          <w:rFonts w:hint="eastAsia" w:ascii="宋体" w:hAnsi="宋体" w:eastAsia="宋体" w:cs="宋体"/>
          <w:b/>
          <w:bCs/>
          <w:color w:val="auto"/>
          <w:highlight w:val="none"/>
          <w:lang w:eastAsia="zh-CN"/>
        </w:rPr>
        <w:t>qxztb.cn</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zh-CN"/>
        </w:rPr>
        <w:t>。</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w:t>
      </w:r>
      <w:r>
        <w:rPr>
          <w:rFonts w:hint="eastAsia" w:ascii="宋体" w:hAnsi="宋体" w:eastAsia="宋体" w:cs="宋体"/>
          <w:b/>
          <w:bCs/>
          <w:color w:val="auto"/>
          <w:highlight w:val="none"/>
        </w:rPr>
        <w:t>获取招标文件的方式</w:t>
      </w:r>
      <w:r>
        <w:rPr>
          <w:rFonts w:hint="eastAsia" w:ascii="宋体" w:hAnsi="宋体" w:eastAsia="宋体" w:cs="宋体"/>
          <w:b/>
          <w:bCs/>
          <w:color w:val="auto"/>
          <w:highlight w:val="none"/>
          <w:lang w:eastAsia="zh-CN"/>
        </w:rPr>
        <w:t>：</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lang w:val="en-US" w:eastAsia="zh-CN"/>
        </w:rPr>
        <w:tab/>
      </w:r>
      <w:r>
        <w:rPr>
          <w:rFonts w:hint="eastAsia" w:ascii="宋体" w:hAnsi="宋体" w:eastAsia="宋体" w:cs="宋体"/>
          <w:b/>
          <w:bCs/>
          <w:color w:val="auto"/>
          <w:highlight w:val="none"/>
          <w:lang w:val="en-US" w:eastAsia="zh-CN"/>
        </w:rPr>
        <w:t>在本项目招标文件获取时间期限内，在采购代理机构指定网站(http：//www.</w:t>
      </w:r>
      <w:r>
        <w:rPr>
          <w:rFonts w:hint="eastAsia" w:ascii="宋体" w:hAnsi="宋体" w:eastAsia="宋体" w:cs="宋体"/>
          <w:b/>
          <w:bCs/>
          <w:color w:val="auto"/>
          <w:highlight w:val="none"/>
          <w:lang w:eastAsia="zh-CN"/>
        </w:rPr>
        <w:t>qxztb.cn</w:t>
      </w:r>
      <w:r>
        <w:rPr>
          <w:rFonts w:hint="eastAsia" w:ascii="宋体" w:hAnsi="宋体" w:eastAsia="宋体" w:cs="宋体"/>
          <w:b/>
          <w:bCs/>
          <w:color w:val="auto"/>
          <w:highlight w:val="none"/>
          <w:lang w:val="en-US" w:eastAsia="zh-CN"/>
        </w:rPr>
        <w:t>)购买，具体购买流程详见该网站的“标书在线购买流程”。</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ascii="宋体" w:hAnsi="宋体" w:eastAsia="宋体" w:cs="宋体"/>
          <w:b/>
          <w:bCs/>
          <w:color w:val="auto"/>
          <w:highlight w:val="none"/>
          <w:lang w:val="zh-CN" w:eastAsia="zh-CN"/>
        </w:rPr>
      </w:pPr>
      <w:r>
        <w:rPr>
          <w:rFonts w:hint="eastAsia" w:ascii="宋体" w:hAnsi="宋体" w:eastAsia="宋体" w:cs="宋体"/>
          <w:b/>
          <w:bCs/>
          <w:color w:val="auto"/>
          <w:highlight w:val="none"/>
          <w:lang w:val="en-US" w:eastAsia="zh-CN"/>
        </w:rPr>
        <w:t>2.报名咨询电话：</w:t>
      </w:r>
      <w:r>
        <w:rPr>
          <w:rFonts w:hint="eastAsia" w:ascii="宋体" w:hAnsi="宋体" w:eastAsia="宋体" w:cs="宋体"/>
          <w:b/>
          <w:bCs/>
          <w:color w:val="auto"/>
          <w:highlight w:val="none"/>
          <w:lang w:val="zh-CN" w:eastAsia="zh-CN"/>
        </w:rPr>
        <w:t>028-61375575、62600820、62630990转601或602。</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(四)</w:t>
      </w:r>
      <w:r>
        <w:rPr>
          <w:rFonts w:hint="eastAsia" w:ascii="宋体" w:hAnsi="宋体" w:eastAsia="宋体" w:cs="宋体"/>
          <w:b/>
          <w:bCs/>
          <w:color w:val="auto"/>
          <w:highlight w:val="none"/>
          <w:lang w:val="zh-CN"/>
        </w:rPr>
        <w:t>招标文件售价：</w:t>
      </w:r>
      <w:r>
        <w:rPr>
          <w:rFonts w:hint="eastAsia" w:ascii="宋体" w:hAnsi="宋体" w:eastAsia="宋体" w:cs="宋体"/>
          <w:color w:val="auto"/>
          <w:highlight w:val="none"/>
          <w:lang w:val="zh-CN"/>
        </w:rPr>
        <w:t>人民币</w:t>
      </w:r>
      <w:r>
        <w:rPr>
          <w:rFonts w:hint="eastAsia" w:ascii="宋体" w:hAnsi="宋体" w:eastAsia="宋体" w:cs="宋体"/>
          <w:color w:val="auto"/>
          <w:highlight w:val="none"/>
          <w:lang w:val="en-US" w:eastAsia="zh-CN"/>
        </w:rPr>
        <w:t>0元</w:t>
      </w:r>
      <w:r>
        <w:rPr>
          <w:rFonts w:hint="eastAsia" w:ascii="宋体" w:hAnsi="宋体" w:eastAsia="宋体" w:cs="宋体"/>
          <w:color w:val="auto"/>
          <w:highlight w:val="none"/>
          <w:lang w:val="zh-CN"/>
        </w:rPr>
        <w:t xml:space="preserve">/份(招标文件售后不退, </w:t>
      </w:r>
      <w:r>
        <w:rPr>
          <w:rFonts w:hint="eastAsia" w:ascii="宋体" w:hAnsi="宋体" w:eastAsia="宋体" w:cs="宋体"/>
          <w:color w:val="auto"/>
          <w:highlight w:val="none"/>
        </w:rPr>
        <w:t>投标资格</w:t>
      </w:r>
      <w:r>
        <w:rPr>
          <w:rFonts w:hint="eastAsia" w:ascii="宋体" w:hAnsi="宋体" w:eastAsia="宋体" w:cs="宋体"/>
          <w:color w:val="auto"/>
          <w:highlight w:val="none"/>
          <w:lang w:eastAsia="zh-CN"/>
        </w:rPr>
        <w:t>不得</w:t>
      </w:r>
      <w:r>
        <w:rPr>
          <w:rFonts w:hint="eastAsia" w:ascii="宋体" w:hAnsi="宋体" w:eastAsia="宋体" w:cs="宋体"/>
          <w:color w:val="auto"/>
          <w:highlight w:val="none"/>
        </w:rPr>
        <w:t>转让)。</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(五)</w:t>
      </w:r>
      <w:r>
        <w:rPr>
          <w:rFonts w:hint="eastAsia" w:ascii="宋体" w:hAnsi="宋体" w:eastAsia="宋体" w:cs="宋体"/>
          <w:color w:val="auto"/>
          <w:highlight w:val="none"/>
        </w:rPr>
        <w:t>供应商应在规定的时间内</w:t>
      </w:r>
      <w:r>
        <w:rPr>
          <w:rFonts w:hint="eastAsia" w:ascii="宋体" w:hAnsi="宋体" w:eastAsia="宋体" w:cs="宋体"/>
          <w:color w:val="auto"/>
          <w:highlight w:val="none"/>
          <w:lang w:val="en-US" w:eastAsia="zh-CN"/>
        </w:rPr>
        <w:t>按上述要求获取</w:t>
      </w:r>
      <w:r>
        <w:rPr>
          <w:rFonts w:hint="eastAsia" w:ascii="宋体" w:hAnsi="宋体" w:eastAsia="宋体" w:cs="宋体"/>
          <w:color w:val="auto"/>
          <w:highlight w:val="none"/>
        </w:rPr>
        <w:t>本</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文件并登记，</w:t>
      </w:r>
      <w:r>
        <w:rPr>
          <w:rFonts w:hint="eastAsia" w:ascii="宋体" w:hAnsi="宋体" w:eastAsia="宋体" w:cs="宋体"/>
          <w:color w:val="auto"/>
          <w:highlight w:val="none"/>
          <w:lang w:val="en-US" w:eastAsia="zh-CN"/>
        </w:rPr>
        <w:t>否则</w:t>
      </w:r>
      <w:r>
        <w:rPr>
          <w:rFonts w:hint="eastAsia" w:ascii="宋体" w:hAnsi="宋体" w:eastAsia="宋体" w:cs="宋体"/>
          <w:color w:val="auto"/>
          <w:highlight w:val="none"/>
        </w:rPr>
        <w:t>均无资格参加该项目的</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投标文件的递交</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(一)</w:t>
      </w:r>
      <w:r>
        <w:rPr>
          <w:rFonts w:hint="eastAsia" w:ascii="宋体" w:hAnsi="宋体" w:eastAsia="宋体" w:cs="宋体"/>
          <w:b w:val="0"/>
          <w:bCs w:val="0"/>
          <w:color w:val="auto"/>
          <w:highlight w:val="none"/>
        </w:rPr>
        <w:t>投标文件递交起止时间</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20</w:t>
      </w:r>
      <w:r>
        <w:rPr>
          <w:rFonts w:hint="eastAsia" w:ascii="宋体" w:hAnsi="宋体" w:eastAsia="宋体" w:cs="宋体"/>
          <w:b w:val="0"/>
          <w:bCs w:val="0"/>
          <w:color w:val="auto"/>
          <w:highlight w:val="none"/>
          <w:lang w:val="en-US" w:eastAsia="zh-CN"/>
        </w:rPr>
        <w:t>21</w:t>
      </w:r>
      <w:r>
        <w:rPr>
          <w:rFonts w:hint="eastAsia" w:ascii="宋体" w:hAnsi="宋体" w:eastAsia="宋体" w:cs="宋体"/>
          <w:b w:val="0"/>
          <w:bCs w:val="0"/>
          <w:color w:val="auto"/>
          <w:highlight w:val="none"/>
        </w:rPr>
        <w:t>年</w:t>
      </w:r>
      <w:r>
        <w:rPr>
          <w:rFonts w:hint="eastAsia" w:cs="宋体"/>
          <w:b w:val="0"/>
          <w:bCs w:val="0"/>
          <w:color w:val="auto"/>
          <w:highlight w:val="none"/>
          <w:lang w:val="en-US" w:eastAsia="zh-CN"/>
        </w:rPr>
        <w:t>5</w:t>
      </w:r>
      <w:r>
        <w:rPr>
          <w:rFonts w:hint="eastAsia" w:ascii="宋体" w:hAnsi="宋体" w:eastAsia="宋体" w:cs="宋体"/>
          <w:b w:val="0"/>
          <w:bCs w:val="0"/>
          <w:color w:val="auto"/>
          <w:highlight w:val="none"/>
        </w:rPr>
        <w:t>月</w:t>
      </w:r>
      <w:r>
        <w:rPr>
          <w:rFonts w:hint="eastAsia" w:cs="宋体"/>
          <w:b w:val="0"/>
          <w:bCs w:val="0"/>
          <w:color w:val="auto"/>
          <w:highlight w:val="none"/>
          <w:lang w:val="en-US" w:eastAsia="zh-CN"/>
        </w:rPr>
        <w:t>17</w:t>
      </w:r>
      <w:r>
        <w:rPr>
          <w:rFonts w:hint="eastAsia" w:ascii="宋体" w:hAnsi="宋体" w:eastAsia="宋体" w:cs="宋体"/>
          <w:b w:val="0"/>
          <w:bCs w:val="0"/>
          <w:color w:val="auto"/>
          <w:highlight w:val="none"/>
        </w:rPr>
        <w:t>日09时30分至10时00分</w:t>
      </w:r>
      <w:r>
        <w:rPr>
          <w:rFonts w:hint="eastAsia" w:ascii="宋体" w:hAnsi="宋体" w:eastAsia="宋体" w:cs="宋体"/>
          <w:b w:val="0"/>
          <w:bCs w:val="0"/>
          <w:color w:val="auto"/>
          <w:highlight w:val="none"/>
          <w:lang w:eastAsia="zh-CN"/>
        </w:rPr>
        <w:t>。</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(二)</w:t>
      </w:r>
      <w:r>
        <w:rPr>
          <w:rFonts w:hint="eastAsia" w:ascii="宋体" w:hAnsi="宋体" w:eastAsia="宋体" w:cs="宋体"/>
          <w:b w:val="0"/>
          <w:bCs w:val="0"/>
          <w:color w:val="auto"/>
          <w:highlight w:val="none"/>
        </w:rPr>
        <w:t>投标文件递交地点：</w:t>
      </w:r>
      <w:r>
        <w:rPr>
          <w:rFonts w:hint="eastAsia" w:ascii="宋体" w:hAnsi="宋体" w:eastAsia="宋体" w:cs="宋体"/>
          <w:b w:val="0"/>
          <w:bCs w:val="0"/>
          <w:color w:val="auto"/>
          <w:highlight w:val="none"/>
          <w:lang w:val="zh-CN"/>
        </w:rPr>
        <w:t>成都市高新区吉庆三路333号蜀都中心二期一号楼一单元401号</w:t>
      </w:r>
      <w:r>
        <w:rPr>
          <w:rFonts w:hint="eastAsia" w:ascii="宋体" w:hAnsi="宋体" w:eastAsia="宋体" w:cs="宋体"/>
          <w:b w:val="0"/>
          <w:bCs w:val="0"/>
          <w:color w:val="auto"/>
          <w:highlight w:val="none"/>
          <w:lang w:val="en-US" w:eastAsia="zh-CN"/>
        </w:rPr>
        <w:t>本项目开标室。</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highlight w:val="none"/>
          <w:lang w:val="en-US" w:eastAsia="zh-CN"/>
        </w:rPr>
        <w:t>(三)</w:t>
      </w:r>
      <w:r>
        <w:rPr>
          <w:rFonts w:hint="eastAsia" w:ascii="宋体" w:hAnsi="宋体" w:eastAsia="宋体" w:cs="宋体"/>
          <w:b w:val="0"/>
          <w:bCs w:val="0"/>
          <w:color w:val="auto"/>
          <w:highlight w:val="none"/>
        </w:rPr>
        <w:t>投标文件必须在投标截止时间前送达开标地点，逾期送达的投标文件恕不接收，本次招标不接受</w:t>
      </w:r>
      <w:r>
        <w:rPr>
          <w:rFonts w:hint="eastAsia" w:ascii="宋体" w:hAnsi="宋体" w:eastAsia="宋体" w:cs="宋体"/>
          <w:color w:val="auto"/>
          <w:highlight w:val="none"/>
        </w:rPr>
        <w:t>邮寄的投标文件。</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投标截止时间及开标时间：</w:t>
      </w:r>
      <w:r>
        <w:rPr>
          <w:rFonts w:hint="eastAsia" w:ascii="宋体" w:hAnsi="宋体" w:eastAsia="宋体" w:cs="宋体"/>
          <w:b w:val="0"/>
          <w:bCs w:val="0"/>
          <w:color w:val="auto"/>
          <w:highlight w:val="none"/>
        </w:rPr>
        <w:t>20</w:t>
      </w:r>
      <w:r>
        <w:rPr>
          <w:rFonts w:hint="eastAsia" w:ascii="宋体" w:hAnsi="宋体" w:eastAsia="宋体" w:cs="宋体"/>
          <w:b w:val="0"/>
          <w:bCs w:val="0"/>
          <w:color w:val="auto"/>
          <w:highlight w:val="none"/>
          <w:lang w:val="en-US" w:eastAsia="zh-CN"/>
        </w:rPr>
        <w:t>21</w:t>
      </w:r>
      <w:r>
        <w:rPr>
          <w:rFonts w:hint="eastAsia" w:ascii="宋体" w:hAnsi="宋体" w:eastAsia="宋体" w:cs="宋体"/>
          <w:b w:val="0"/>
          <w:bCs w:val="0"/>
          <w:color w:val="auto"/>
          <w:highlight w:val="none"/>
        </w:rPr>
        <w:t>年</w:t>
      </w:r>
      <w:r>
        <w:rPr>
          <w:rFonts w:hint="eastAsia" w:cs="宋体"/>
          <w:b w:val="0"/>
          <w:bCs w:val="0"/>
          <w:color w:val="auto"/>
          <w:highlight w:val="none"/>
          <w:lang w:val="en-US" w:eastAsia="zh-CN"/>
        </w:rPr>
        <w:t>5</w:t>
      </w:r>
      <w:r>
        <w:rPr>
          <w:rFonts w:hint="eastAsia" w:ascii="宋体" w:hAnsi="宋体" w:eastAsia="宋体" w:cs="宋体"/>
          <w:b w:val="0"/>
          <w:bCs w:val="0"/>
          <w:color w:val="auto"/>
          <w:highlight w:val="none"/>
        </w:rPr>
        <w:t>月</w:t>
      </w:r>
      <w:r>
        <w:rPr>
          <w:rFonts w:hint="eastAsia" w:cs="宋体"/>
          <w:b w:val="0"/>
          <w:bCs w:val="0"/>
          <w:color w:val="auto"/>
          <w:highlight w:val="none"/>
          <w:lang w:val="en-US" w:eastAsia="zh-CN"/>
        </w:rPr>
        <w:t>17</w:t>
      </w:r>
      <w:r>
        <w:rPr>
          <w:rFonts w:hint="eastAsia" w:ascii="宋体" w:hAnsi="宋体" w:eastAsia="宋体" w:cs="宋体"/>
          <w:b w:val="0"/>
          <w:bCs w:val="0"/>
          <w:color w:val="auto"/>
          <w:highlight w:val="none"/>
        </w:rPr>
        <w:t>日10时00分。</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开标地点：</w:t>
      </w:r>
      <w:r>
        <w:rPr>
          <w:rFonts w:hint="eastAsia" w:ascii="宋体" w:hAnsi="宋体" w:eastAsia="宋体" w:cs="宋体"/>
          <w:b w:val="0"/>
          <w:bCs w:val="0"/>
          <w:color w:val="auto"/>
          <w:highlight w:val="none"/>
          <w:lang w:val="zh-CN"/>
        </w:rPr>
        <w:t>成都市高新区吉庆三路333号蜀都中心二期一号楼一单元401号</w:t>
      </w:r>
      <w:r>
        <w:rPr>
          <w:rFonts w:hint="eastAsia" w:ascii="宋体" w:hAnsi="宋体" w:eastAsia="宋体" w:cs="宋体"/>
          <w:b w:val="0"/>
          <w:bCs w:val="0"/>
          <w:color w:val="auto"/>
          <w:highlight w:val="none"/>
          <w:lang w:val="en-US" w:eastAsia="zh-CN"/>
        </w:rPr>
        <w:t>本项目开标室</w:t>
      </w:r>
      <w:r>
        <w:rPr>
          <w:rFonts w:hint="eastAsia" w:ascii="宋体" w:hAnsi="宋体" w:eastAsia="宋体" w:cs="宋体"/>
          <w:b w:val="0"/>
          <w:bCs w:val="0"/>
          <w:color w:val="auto"/>
          <w:highlight w:val="none"/>
        </w:rPr>
        <w:t>。</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采购信息发布媒体：</w:t>
      </w:r>
      <w:r>
        <w:rPr>
          <w:rFonts w:hint="eastAsia" w:ascii="宋体" w:hAnsi="宋体" w:eastAsia="宋体" w:cs="宋体"/>
          <w:b w:val="0"/>
          <w:bCs w:val="0"/>
          <w:color w:val="auto"/>
          <w:highlight w:val="none"/>
          <w:lang w:eastAsia="zh-CN"/>
        </w:rPr>
        <w:t>“四川政府采购网”。</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供应商信用融资：</w:t>
      </w:r>
    </w:p>
    <w:p>
      <w:pPr>
        <w:pStyle w:val="29"/>
        <w:keepNext w:val="0"/>
        <w:keepLines w:val="0"/>
        <w:pageBreakBefore w:val="0"/>
        <w:widowControl w:val="0"/>
        <w:kinsoku/>
        <w:overflowPunct/>
        <w:autoSpaceDE/>
        <w:autoSpaceDN/>
        <w:bidi w:val="0"/>
        <w:adjustRightInd w:val="0"/>
        <w:snapToGrid w:val="0"/>
        <w:spacing w:line="420" w:lineRule="exact"/>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根据《四川省财政厅关于推进四川省政府采购供应商信用融资工作的通知》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川财采</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2018</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123号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文件要求，为助力解决政府采购中标、成交供应商资金不足、融资难、融资贵的困难，促进供应商依法诚信参加政府采购活动，有融资需求的供应商可根据</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四川政府采购网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公示的银行及其“政采贷”产品，自行选择符合自身情况的“政采贷”银行及其产品，凭</w:t>
      </w: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rPr>
        <w:t>通知书向银行提出贷款意向申请，并按照相关规定要求和贷款流程申请信用融资贷款。</w:t>
      </w:r>
    </w:p>
    <w:p>
      <w:pPr>
        <w:pStyle w:val="25"/>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对本次招标提出询问，请按以下方式联系</w:t>
      </w:r>
      <w:r>
        <w:rPr>
          <w:rFonts w:hint="eastAsia" w:ascii="宋体" w:hAnsi="宋体" w:eastAsia="宋体" w:cs="宋体"/>
          <w:b/>
          <w:bCs/>
          <w:color w:val="auto"/>
          <w:highlight w:val="none"/>
          <w:lang w:eastAsia="zh-CN"/>
        </w:rPr>
        <w:t>：</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采购人信息</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名    称</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成都市技师学院</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rPr>
        <w:t>地</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址：成都市</w:t>
      </w:r>
      <w:r>
        <w:rPr>
          <w:rFonts w:hint="eastAsia" w:ascii="宋体" w:hAnsi="宋体" w:eastAsia="宋体" w:cs="宋体"/>
          <w:color w:val="auto"/>
          <w:highlight w:val="none"/>
          <w:lang w:val="en-US" w:eastAsia="zh-CN"/>
        </w:rPr>
        <w:t>郫都区</w:t>
      </w:r>
      <w:r>
        <w:rPr>
          <w:rFonts w:hint="eastAsia" w:ascii="宋体" w:hAnsi="宋体" w:eastAsia="宋体" w:cs="宋体"/>
          <w:color w:val="auto"/>
          <w:highlight w:val="none"/>
        </w:rPr>
        <w:t>红光镇港通北三路1899</w:t>
      </w:r>
      <w:r>
        <w:rPr>
          <w:rFonts w:hint="eastAsia" w:ascii="宋体" w:hAnsi="宋体" w:eastAsia="宋体" w:cs="宋体"/>
          <w:color w:val="auto"/>
          <w:highlight w:val="none"/>
          <w:lang w:val="en-US" w:eastAsia="zh-CN"/>
        </w:rPr>
        <w:t>号</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 系 人：</w:t>
      </w:r>
      <w:r>
        <w:rPr>
          <w:rFonts w:hint="eastAsia" w:ascii="宋体" w:hAnsi="宋体" w:eastAsia="宋体" w:cs="宋体"/>
          <w:color w:val="auto"/>
          <w:highlight w:val="none"/>
          <w:lang w:val="en-US" w:eastAsia="zh-CN"/>
        </w:rPr>
        <w:t xml:space="preserve">刘林   </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w:t>
      </w:r>
      <w:r>
        <w:rPr>
          <w:rFonts w:hint="eastAsia" w:ascii="宋体" w:hAnsi="宋体" w:eastAsia="宋体" w:cs="宋体"/>
          <w:color w:val="auto"/>
          <w:highlight w:val="none"/>
          <w:lang w:val="en-US" w:eastAsia="zh-CN"/>
        </w:rPr>
        <w:t>方式</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028-64907283</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采购代理机构信息</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名    称</w:t>
      </w:r>
      <w:r>
        <w:rPr>
          <w:rFonts w:hint="eastAsia" w:ascii="宋体" w:hAnsi="宋体" w:eastAsia="宋体" w:cs="宋体"/>
          <w:color w:val="auto"/>
          <w:highlight w:val="none"/>
        </w:rPr>
        <w:t>：四川乾新招投标代理有限公司</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lang w:val="zh-CN"/>
        </w:rPr>
        <w:t>成都市高新区吉庆三路333号蜀都中心二期一号楼一单元401号</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王朝钢</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s="宋体"/>
          <w:color w:val="auto"/>
          <w:highlight w:val="none"/>
          <w:lang w:val="en-US" w:eastAsia="zh-CN"/>
        </w:rPr>
      </w:pPr>
      <w:r>
        <w:rPr>
          <w:rFonts w:hint="eastAsia" w:ascii="宋体" w:hAnsi="宋体" w:eastAsia="宋体" w:cs="宋体"/>
          <w:color w:val="auto"/>
          <w:highlight w:val="none"/>
          <w:lang w:val="zh-CN"/>
        </w:rPr>
        <w:t>联系电话：028-61375575、62600820、62630990转</w:t>
      </w:r>
      <w:r>
        <w:rPr>
          <w:rFonts w:hint="eastAsia" w:cs="宋体"/>
          <w:color w:val="auto"/>
          <w:highlight w:val="none"/>
          <w:lang w:val="en-US" w:eastAsia="zh-CN"/>
        </w:rPr>
        <w:t>627</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传    真：</w:t>
      </w:r>
      <w:r>
        <w:rPr>
          <w:rFonts w:hint="eastAsia" w:ascii="宋体" w:hAnsi="宋体" w:eastAsia="宋体" w:cs="宋体"/>
          <w:color w:val="auto"/>
          <w:highlight w:val="none"/>
          <w:lang w:val="en-US" w:eastAsia="zh-CN"/>
        </w:rPr>
        <w:t>028-</w:t>
      </w:r>
      <w:r>
        <w:rPr>
          <w:rFonts w:hint="eastAsia" w:ascii="宋体" w:hAnsi="宋体" w:eastAsia="宋体" w:cs="宋体"/>
          <w:color w:val="auto"/>
          <w:highlight w:val="none"/>
          <w:lang w:val="zh-CN"/>
        </w:rPr>
        <w:t>83381</w:t>
      </w:r>
      <w:r>
        <w:rPr>
          <w:rFonts w:hint="eastAsia" w:ascii="宋体" w:hAnsi="宋体" w:eastAsia="宋体" w:cs="宋体"/>
          <w:color w:val="auto"/>
          <w:highlight w:val="none"/>
          <w:lang w:val="en-US" w:eastAsia="zh-CN"/>
        </w:rPr>
        <w:t>268</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电子邮件：</w:t>
      </w:r>
      <w:r>
        <w:rPr>
          <w:rFonts w:hint="eastAsia" w:ascii="宋体" w:hAnsi="宋体" w:eastAsia="宋体" w:cs="宋体"/>
          <w:color w:val="auto"/>
          <w:highlight w:val="none"/>
          <w:lang w:val="zh-CN"/>
        </w:rPr>
        <w:fldChar w:fldCharType="begin"/>
      </w:r>
      <w:r>
        <w:rPr>
          <w:rFonts w:hint="eastAsia" w:ascii="宋体" w:hAnsi="宋体" w:eastAsia="宋体" w:cs="宋体"/>
          <w:color w:val="auto"/>
          <w:highlight w:val="none"/>
          <w:lang w:val="zh-CN"/>
        </w:rPr>
        <w:instrText xml:space="preserve"> HYPERLINK "mailto:scqxzb@163.com" </w:instrText>
      </w:r>
      <w:r>
        <w:rPr>
          <w:rFonts w:hint="eastAsia" w:ascii="宋体" w:hAnsi="宋体" w:eastAsia="宋体" w:cs="宋体"/>
          <w:color w:val="auto"/>
          <w:highlight w:val="none"/>
          <w:lang w:val="zh-CN"/>
        </w:rPr>
        <w:fldChar w:fldCharType="separate"/>
      </w:r>
      <w:r>
        <w:rPr>
          <w:rFonts w:hint="eastAsia" w:ascii="宋体" w:hAnsi="宋体" w:eastAsia="宋体" w:cs="宋体"/>
          <w:color w:val="auto"/>
          <w:highlight w:val="none"/>
          <w:lang w:val="zh-CN"/>
        </w:rPr>
        <w:t>scqxzb@163.com</w:t>
      </w:r>
      <w:r>
        <w:rPr>
          <w:rFonts w:hint="eastAsia" w:ascii="宋体" w:hAnsi="宋体" w:eastAsia="宋体" w:cs="宋体"/>
          <w:color w:val="auto"/>
          <w:highlight w:val="none"/>
          <w:lang w:val="zh-CN"/>
        </w:rPr>
        <w:fldChar w:fldCharType="end"/>
      </w:r>
    </w:p>
    <w:p>
      <w:pPr>
        <w:pStyle w:val="24"/>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br w:type="page"/>
      </w:r>
      <w:bookmarkEnd w:id="14"/>
      <w:bookmarkEnd w:id="15"/>
      <w:bookmarkEnd w:id="16"/>
      <w:bookmarkEnd w:id="17"/>
      <w:bookmarkEnd w:id="18"/>
      <w:bookmarkStart w:id="20" w:name="_Toc2482"/>
      <w:bookmarkStart w:id="21" w:name="_Toc30888"/>
      <w:bookmarkStart w:id="22" w:name="_Toc7416"/>
      <w:bookmarkStart w:id="23" w:name="_Toc25668"/>
      <w:bookmarkStart w:id="24" w:name="_Toc9314"/>
      <w:r>
        <w:rPr>
          <w:rFonts w:hint="eastAsia" w:ascii="宋体" w:hAnsi="宋体" w:eastAsia="宋体" w:cs="宋体"/>
          <w:color w:val="auto"/>
          <w:highlight w:val="none"/>
          <w:lang w:val="en-US" w:eastAsia="zh-CN"/>
        </w:rPr>
        <w:t>投标人须知</w:t>
      </w:r>
      <w:bookmarkEnd w:id="20"/>
      <w:bookmarkEnd w:id="21"/>
      <w:bookmarkEnd w:id="22"/>
      <w:bookmarkEnd w:id="23"/>
      <w:bookmarkEnd w:id="24"/>
    </w:p>
    <w:p>
      <w:pPr>
        <w:pStyle w:val="46"/>
        <w:bidi w:val="0"/>
        <w:rPr>
          <w:rFonts w:hint="eastAsia" w:ascii="宋体" w:hAnsi="宋体" w:eastAsia="宋体" w:cs="宋体"/>
          <w:color w:val="auto"/>
          <w:highlight w:val="none"/>
        </w:rPr>
      </w:pPr>
      <w:bookmarkStart w:id="25" w:name="_Toc213396946"/>
      <w:bookmarkStart w:id="26" w:name="_Toc14035"/>
      <w:bookmarkStart w:id="27" w:name="_Toc327196261"/>
      <w:bookmarkStart w:id="28" w:name="_Toc213496268"/>
      <w:bookmarkStart w:id="29" w:name="_Toc217446032"/>
      <w:bookmarkStart w:id="30" w:name="_Toc189727030"/>
      <w:bookmarkStart w:id="31" w:name="_Toc28824"/>
      <w:bookmarkStart w:id="32" w:name="_Toc13668"/>
      <w:bookmarkStart w:id="33" w:name="_Toc6734"/>
      <w:bookmarkStart w:id="34" w:name="_Toc213396760"/>
      <w:bookmarkStart w:id="35" w:name="_Toc31215"/>
      <w:bookmarkStart w:id="36" w:name="_Toc213397010"/>
      <w:r>
        <w:rPr>
          <w:rFonts w:hint="eastAsia" w:ascii="宋体" w:hAnsi="宋体" w:eastAsia="宋体" w:cs="宋体"/>
          <w:color w:val="auto"/>
          <w:highlight w:val="none"/>
        </w:rPr>
        <w:t>投标人须知</w:t>
      </w:r>
      <w:r>
        <w:rPr>
          <w:rFonts w:hint="eastAsia" w:ascii="宋体" w:hAnsi="宋体" w:eastAsia="宋体" w:cs="宋体"/>
          <w:color w:val="auto"/>
          <w:highlight w:val="none"/>
          <w:lang w:val="en-US" w:eastAsia="zh-CN"/>
        </w:rPr>
        <w:t>前</w:t>
      </w:r>
      <w:r>
        <w:rPr>
          <w:rFonts w:hint="eastAsia" w:ascii="宋体" w:hAnsi="宋体" w:eastAsia="宋体" w:cs="宋体"/>
          <w:color w:val="auto"/>
          <w:highlight w:val="none"/>
        </w:rPr>
        <w:t>附表</w:t>
      </w:r>
      <w:bookmarkEnd w:id="25"/>
      <w:bookmarkEnd w:id="26"/>
      <w:bookmarkEnd w:id="27"/>
      <w:bookmarkEnd w:id="28"/>
      <w:bookmarkEnd w:id="29"/>
      <w:bookmarkEnd w:id="30"/>
      <w:bookmarkEnd w:id="31"/>
      <w:bookmarkEnd w:id="32"/>
      <w:bookmarkEnd w:id="33"/>
      <w:bookmarkEnd w:id="34"/>
      <w:bookmarkEnd w:id="35"/>
      <w:bookmarkEnd w:id="36"/>
    </w:p>
    <w:tbl>
      <w:tblPr>
        <w:tblStyle w:val="19"/>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2009"/>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570" w:type="dxa"/>
            <w:vAlign w:val="center"/>
          </w:tcPr>
          <w:p>
            <w:pPr>
              <w:pStyle w:val="48"/>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b/>
                <w:bCs/>
                <w:color w:val="auto"/>
                <w:sz w:val="21"/>
                <w:szCs w:val="21"/>
                <w:highlight w:val="none"/>
                <w:lang w:val="zh-CN"/>
              </w:rPr>
            </w:pPr>
            <w:bookmarkStart w:id="37" w:name="_Toc327196262"/>
            <w:r>
              <w:rPr>
                <w:rFonts w:hint="eastAsia" w:ascii="宋体" w:hAnsi="宋体" w:eastAsia="宋体" w:cs="宋体"/>
                <w:b/>
                <w:bCs/>
                <w:color w:val="auto"/>
                <w:sz w:val="21"/>
                <w:szCs w:val="21"/>
                <w:highlight w:val="none"/>
                <w:lang w:val="zh-CN"/>
              </w:rPr>
              <w:t>序号</w:t>
            </w: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条款名称</w:t>
            </w:r>
            <w:r>
              <w:rPr>
                <w:rFonts w:hint="eastAsia" w:ascii="宋体" w:hAnsi="宋体" w:eastAsia="宋体" w:cs="宋体"/>
                <w:b/>
                <w:bCs/>
                <w:color w:val="auto"/>
                <w:sz w:val="21"/>
                <w:szCs w:val="21"/>
                <w:highlight w:val="none"/>
                <w:lang w:val="zh-CN"/>
              </w:rPr>
              <w:t xml:space="preserve"> </w:t>
            </w:r>
          </w:p>
        </w:tc>
        <w:tc>
          <w:tcPr>
            <w:tcW w:w="7171"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采购预算</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本项目</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zh-CN"/>
              </w:rPr>
              <w:t>预算为人民币</w:t>
            </w:r>
            <w:r>
              <w:rPr>
                <w:rFonts w:hint="eastAsia" w:ascii="宋体" w:hAnsi="宋体" w:eastAsia="宋体" w:cs="宋体"/>
                <w:color w:val="auto"/>
                <w:sz w:val="21"/>
                <w:szCs w:val="21"/>
                <w:highlight w:val="none"/>
                <w:lang w:val="en-US" w:eastAsia="zh-CN"/>
              </w:rPr>
              <w:t>1330000</w:t>
            </w:r>
            <w:r>
              <w:rPr>
                <w:rFonts w:hint="eastAsia" w:ascii="宋体" w:hAnsi="宋体" w:eastAsia="宋体" w:cs="宋体"/>
                <w:color w:val="auto"/>
                <w:sz w:val="21"/>
                <w:szCs w:val="21"/>
                <w:highlight w:val="none"/>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最高限价、报价要求</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(实质性要求)</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1.本项目最高限价为：(1-下浮率)不得高于85%，否则将被视为无效投标。</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本次项目</w:t>
            </w:r>
            <w:r>
              <w:rPr>
                <w:rFonts w:hint="eastAsia" w:ascii="宋体" w:hAnsi="宋体" w:eastAsia="宋体" w:cs="宋体"/>
                <w:color w:val="auto"/>
                <w:sz w:val="21"/>
                <w:szCs w:val="21"/>
                <w:highlight w:val="none"/>
                <w:lang w:val="en-US" w:eastAsia="zh-CN"/>
              </w:rPr>
              <w:t>在图书</w:t>
            </w:r>
            <w:r>
              <w:rPr>
                <w:rFonts w:hint="eastAsia" w:ascii="宋体" w:hAnsi="宋体" w:eastAsia="宋体" w:cs="宋体"/>
                <w:color w:val="auto"/>
                <w:sz w:val="21"/>
                <w:szCs w:val="21"/>
                <w:highlight w:val="none"/>
                <w:lang w:eastAsia="zh-CN"/>
              </w:rPr>
              <w:t>码洋</w:t>
            </w:r>
            <w:r>
              <w:rPr>
                <w:rFonts w:hint="eastAsia" w:ascii="宋体" w:hAnsi="宋体" w:eastAsia="宋体" w:cs="宋体"/>
                <w:color w:val="auto"/>
                <w:sz w:val="21"/>
                <w:szCs w:val="21"/>
                <w:highlight w:val="none"/>
                <w:lang w:val="en-US" w:eastAsia="zh-CN"/>
              </w:rPr>
              <w:t>的基础上</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下浮率</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下浮率</w:t>
            </w:r>
            <w:r>
              <w:rPr>
                <w:rFonts w:hint="eastAsia" w:ascii="宋体" w:hAnsi="宋体" w:eastAsia="宋体" w:cs="宋体"/>
                <w:color w:val="auto"/>
                <w:sz w:val="21"/>
                <w:szCs w:val="21"/>
                <w:highlight w:val="none"/>
              </w:rPr>
              <w:t>以百分比表示</w:t>
            </w:r>
            <w:r>
              <w:rPr>
                <w:rFonts w:hint="eastAsia" w:ascii="宋体" w:hAnsi="宋体" w:eastAsia="宋体" w:cs="宋体"/>
                <w:color w:val="auto"/>
                <w:sz w:val="21"/>
                <w:szCs w:val="21"/>
                <w:highlight w:val="none"/>
                <w:lang w:eastAsia="zh-CN"/>
              </w:rPr>
              <w:t>。</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例：一本书定价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码洋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为10元，投标报价</w:t>
            </w:r>
            <w:r>
              <w:rPr>
                <w:rFonts w:hint="eastAsia" w:ascii="宋体" w:hAnsi="宋体" w:eastAsia="宋体" w:cs="宋体"/>
                <w:color w:val="auto"/>
                <w:sz w:val="21"/>
                <w:szCs w:val="21"/>
                <w:highlight w:val="none"/>
                <w:lang w:val="en-US" w:eastAsia="zh-CN"/>
              </w:rPr>
              <w:t>(下浮率)20</w:t>
            </w:r>
            <w:r>
              <w:rPr>
                <w:rFonts w:hint="eastAsia" w:ascii="宋体" w:hAnsi="宋体" w:eastAsia="宋体" w:cs="宋体"/>
                <w:color w:val="auto"/>
                <w:sz w:val="21"/>
                <w:szCs w:val="21"/>
                <w:highlight w:val="none"/>
              </w:rPr>
              <w:t>%，本书</w:t>
            </w:r>
            <w:r>
              <w:rPr>
                <w:rFonts w:hint="eastAsia" w:ascii="宋体" w:hAnsi="宋体" w:eastAsia="宋体" w:cs="宋体"/>
                <w:color w:val="auto"/>
                <w:sz w:val="21"/>
                <w:szCs w:val="21"/>
                <w:highlight w:val="none"/>
                <w:lang w:eastAsia="zh-CN"/>
              </w:rPr>
              <w:t>实洋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结算价格</w:t>
            </w:r>
            <w:r>
              <w:rPr>
                <w:rFonts w:hint="eastAsia" w:ascii="宋体" w:hAnsi="宋体" w:eastAsia="宋体" w:cs="宋体"/>
                <w:color w:val="auto"/>
                <w:sz w:val="21"/>
                <w:szCs w:val="21"/>
                <w:highlight w:val="none"/>
                <w:lang w:val="en-US" w:eastAsia="zh-CN"/>
              </w:rPr>
              <w:t>=10×(1-20%)]</w:t>
            </w:r>
            <w:r>
              <w:rPr>
                <w:rFonts w:hint="eastAsia" w:ascii="宋体" w:hAnsi="宋体" w:eastAsia="宋体" w:cs="宋体"/>
                <w:color w:val="auto"/>
                <w:sz w:val="21"/>
                <w:szCs w:val="21"/>
                <w:highlight w:val="none"/>
              </w:rPr>
              <w:t>为8元。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本项目所属行业</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本项目所属行业为</w:t>
            </w:r>
            <w:r>
              <w:rPr>
                <w:rFonts w:hint="eastAsia" w:cs="宋体"/>
                <w:color w:val="auto"/>
                <w:sz w:val="21"/>
                <w:szCs w:val="21"/>
                <w:highlight w:val="none"/>
                <w:lang w:val="en-US" w:eastAsia="zh-CN"/>
              </w:rPr>
              <w:t>其他未列明行业</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570" w:type="dxa"/>
            <w:vAlign w:val="center"/>
          </w:tcPr>
          <w:p>
            <w:pPr>
              <w:pStyle w:val="48"/>
              <w:keepNext w:val="0"/>
              <w:keepLines w:val="0"/>
              <w:pageBreakBefore w:val="0"/>
              <w:widowControl w:val="0"/>
              <w:numPr>
                <w:ilvl w:val="0"/>
                <w:numId w:val="8"/>
              </w:numPr>
              <w:kinsoku/>
              <w:overflowPunct/>
              <w:bidi w:val="0"/>
              <w:adjustRightIn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8"/>
              <w:keepNext w:val="0"/>
              <w:keepLines w:val="0"/>
              <w:pageBreakBefore w:val="0"/>
              <w:widowControl w:val="0"/>
              <w:kinsoku/>
              <w:overflowPunct/>
              <w:bidi w:val="0"/>
              <w:adjustRightIn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定向采购</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w:t>
            </w:r>
            <w:r>
              <w:rPr>
                <w:rFonts w:hint="eastAsia" w:cs="宋体"/>
                <w:color w:val="auto"/>
                <w:sz w:val="21"/>
                <w:szCs w:val="21"/>
                <w:highlight w:val="none"/>
                <w:lang w:val="en-US" w:eastAsia="zh-CN"/>
              </w:rPr>
              <w:t>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zh-CN"/>
              </w:rPr>
              <w:t>专门面向中小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lang w:val="zh-CN"/>
              </w:rPr>
              <w:t>企业</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采购方式</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评标方法</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联合体投标</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(实质性要求)</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投标有效期</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(实质性要求)</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备选投标方案和报价</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履约验收</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(实质性要求)</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验收：按国家新闻出版总署公布的自2005年3月1日起施行的《图书质量管理规定》相关规定和采购文件的质量要求和技术指标进行验收，其他未尽事宜应按照《财政部关于进一步加强政府采购需求和履约验收管理的指导意见》(财库〔2016〕205 号</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现场</w:t>
            </w:r>
            <w:r>
              <w:rPr>
                <w:rFonts w:hint="eastAsia" w:ascii="宋体" w:hAnsi="宋体" w:eastAsia="宋体" w:cs="宋体"/>
                <w:color w:val="auto"/>
                <w:sz w:val="21"/>
                <w:szCs w:val="21"/>
                <w:highlight w:val="none"/>
                <w:lang w:val="en-US" w:eastAsia="zh-CN"/>
              </w:rPr>
              <w:t>考察、标前</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w:t>
            </w:r>
            <w:r>
              <w:rPr>
                <w:rFonts w:hint="eastAsia" w:ascii="宋体" w:hAnsi="宋体" w:eastAsia="宋体" w:cs="宋体"/>
                <w:color w:val="auto"/>
                <w:sz w:val="21"/>
                <w:szCs w:val="21"/>
                <w:highlight w:val="none"/>
                <w:lang w:val="en-US" w:eastAsia="zh-CN"/>
              </w:rPr>
              <w:t>会</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采购人、采购代理机构可以视采购项目的具体情况，组织</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进行现场考察或</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前答疑会，但不得单独或分别组织只有一个</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参加的现场考察和答疑会。若组织答疑会和现场考察以采购代理机构通知为准。</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考察现场所发生的一切费用由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lang w:val="en-US" w:eastAsia="zh-CN"/>
              </w:rPr>
              <w:t>自行</w:t>
            </w:r>
            <w:r>
              <w:rPr>
                <w:rFonts w:hint="eastAsia" w:ascii="宋体" w:hAnsi="宋体" w:eastAsia="宋体" w:cs="宋体"/>
                <w:color w:val="auto"/>
                <w:sz w:val="21"/>
                <w:szCs w:val="21"/>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投标保证金</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低于成本价不正当竞争预防措施</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实质性要求</w:t>
            </w:r>
            <w:r>
              <w:rPr>
                <w:rFonts w:hint="eastAsia" w:ascii="宋体" w:hAnsi="宋体" w:eastAsia="宋体" w:cs="宋体"/>
                <w:color w:val="auto"/>
                <w:sz w:val="21"/>
                <w:szCs w:val="21"/>
                <w:highlight w:val="none"/>
                <w:lang w:eastAsia="zh-CN"/>
              </w:rPr>
              <w:t>)</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小微企业、监狱企业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残疾人福利性单位</w:t>
            </w:r>
            <w:r>
              <w:rPr>
                <w:rFonts w:hint="eastAsia" w:ascii="宋体" w:hAnsi="宋体" w:eastAsia="宋体" w:cs="宋体"/>
                <w:color w:val="auto"/>
                <w:sz w:val="21"/>
                <w:szCs w:val="21"/>
                <w:highlight w:val="none"/>
              </w:rPr>
              <w:t>价格扣除和失信企业报价加成或者扣分</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实质性要求</w:t>
            </w:r>
            <w:r>
              <w:rPr>
                <w:rFonts w:hint="eastAsia" w:ascii="宋体" w:hAnsi="宋体" w:eastAsia="宋体" w:cs="宋体"/>
                <w:color w:val="auto"/>
                <w:sz w:val="21"/>
                <w:szCs w:val="21"/>
                <w:highlight w:val="none"/>
                <w:lang w:eastAsia="zh-CN"/>
              </w:rPr>
              <w:t>)</w:t>
            </w:r>
          </w:p>
        </w:tc>
        <w:tc>
          <w:tcPr>
            <w:tcW w:w="7171" w:type="dxa"/>
            <w:vAlign w:val="center"/>
          </w:tcPr>
          <w:p>
            <w:pPr>
              <w:pStyle w:val="45"/>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政府采购促进中小企业发展</w:t>
            </w:r>
            <w:r>
              <w:rPr>
                <w:rFonts w:hint="eastAsia" w:ascii="宋体" w:hAnsi="宋体" w:eastAsia="宋体" w:cs="宋体"/>
                <w:color w:val="auto"/>
                <w:sz w:val="21"/>
                <w:szCs w:val="21"/>
                <w:highlight w:val="none"/>
                <w:lang w:val="en-US" w:eastAsia="zh-CN"/>
              </w:rPr>
              <w:t>政策</w:t>
            </w:r>
          </w:p>
          <w:p>
            <w:pPr>
              <w:pStyle w:val="45"/>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定义：</w:t>
            </w:r>
            <w:r>
              <w:rPr>
                <w:rFonts w:hint="eastAsia" w:ascii="宋体" w:hAnsi="宋体" w:eastAsia="宋体" w:cs="宋体"/>
                <w:color w:val="auto"/>
                <w:sz w:val="21"/>
                <w:szCs w:val="21"/>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45"/>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适用情形：</w:t>
            </w:r>
            <w:r>
              <w:rPr>
                <w:rFonts w:hint="eastAsia" w:ascii="宋体" w:hAnsi="宋体" w:eastAsia="宋体" w:cs="宋体"/>
                <w:color w:val="auto"/>
                <w:sz w:val="21"/>
                <w:szCs w:val="21"/>
                <w:highlight w:val="none"/>
                <w:lang w:val="en-US" w:eastAsia="zh-CN"/>
              </w:rPr>
              <w:t>(1)在货物采购项目中，货物由中小企业制造，即货物由中小企业生产且使用该中小企业商号或者注册商标；</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(2)在货物采购项目中，供应商提供的货物既有中小企业制造货物，也有大型企业制造货物的，不享受本办法规定的中小企业扶持政策。</w:t>
            </w:r>
          </w:p>
          <w:p>
            <w:pPr>
              <w:pStyle w:val="45"/>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注：关于中小微型企业划分标准详见附件二。</w:t>
            </w:r>
          </w:p>
          <w:p>
            <w:pPr>
              <w:pStyle w:val="45"/>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执行方式：</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根据关于印发《政府采购促进中小企业发展管理办法》的通知</w:t>
            </w:r>
            <w:r>
              <w:rPr>
                <w:rFonts w:hint="eastAsia" w:ascii="宋体" w:hAnsi="宋体" w:eastAsia="宋体" w:cs="宋体"/>
                <w:color w:val="auto"/>
                <w:sz w:val="21"/>
                <w:szCs w:val="21"/>
                <w:highlight w:val="none"/>
                <w:lang w:eastAsia="zh-CN"/>
              </w:rPr>
              <w:t>(财库〔2020〕46号)、四川省财政厅 四川省经济和信息化委员会中国人民银行成都分行关于印发《四川省政府采购促进中小企业发展的若干规定》(</w:t>
            </w:r>
            <w:r>
              <w:rPr>
                <w:rFonts w:hint="eastAsia" w:ascii="宋体" w:hAnsi="宋体" w:eastAsia="宋体" w:cs="宋体"/>
                <w:color w:val="auto"/>
                <w:sz w:val="21"/>
                <w:szCs w:val="21"/>
                <w:highlight w:val="none"/>
                <w:lang w:val="en-US" w:eastAsia="zh-CN"/>
              </w:rPr>
              <w:t>川财采〔</w:t>
            </w:r>
            <w:r>
              <w:rPr>
                <w:rFonts w:hint="eastAsia" w:ascii="宋体" w:hAnsi="宋体" w:eastAsia="宋体" w:cs="宋体"/>
                <w:color w:val="auto"/>
                <w:sz w:val="21"/>
                <w:szCs w:val="21"/>
                <w:highlight w:val="none"/>
                <w:lang w:eastAsia="zh-CN"/>
              </w:rPr>
              <w:t>201</w:t>
            </w:r>
            <w:r>
              <w:rPr>
                <w:rFonts w:hint="eastAsia" w:ascii="宋体" w:hAnsi="宋体" w:eastAsia="宋体" w:cs="宋体"/>
                <w:color w:val="auto"/>
                <w:sz w:val="21"/>
                <w:szCs w:val="21"/>
                <w:highlight w:val="none"/>
                <w:lang w:val="en-US" w:eastAsia="zh-CN"/>
              </w:rPr>
              <w:t>6〕35</w:t>
            </w:r>
            <w:r>
              <w:rPr>
                <w:rFonts w:hint="eastAsia" w:ascii="宋体" w:hAnsi="宋体" w:eastAsia="宋体" w:cs="宋体"/>
                <w:color w:val="auto"/>
                <w:sz w:val="21"/>
                <w:szCs w:val="21"/>
                <w:highlight w:val="none"/>
                <w:lang w:eastAsia="zh-CN"/>
              </w:rPr>
              <w:t>号)</w:t>
            </w:r>
            <w:r>
              <w:rPr>
                <w:rFonts w:hint="eastAsia" w:ascii="宋体" w:hAnsi="宋体" w:eastAsia="宋体" w:cs="宋体"/>
                <w:color w:val="auto"/>
                <w:sz w:val="21"/>
                <w:szCs w:val="21"/>
                <w:highlight w:val="none"/>
              </w:rPr>
              <w:t>的规定，对小型和微型企业的价格给予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%的价格扣除，用扣除后的价格参与评审。</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参加政府采购活动的中小企业应当提供《中小企业声明函》原件。</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供应商按照本办法规定提供声明函内容不实的，属于提供虚假材料谋取中标、成交，依照《中华人民共和国政府采购法》等国家有关规定追究相应责任</w:t>
            </w:r>
            <w:r>
              <w:rPr>
                <w:rFonts w:hint="eastAsia" w:ascii="宋体" w:hAnsi="宋体" w:eastAsia="宋体" w:cs="宋体"/>
                <w:color w:val="auto"/>
                <w:sz w:val="21"/>
                <w:szCs w:val="21"/>
                <w:highlight w:val="none"/>
                <w:lang w:val="en-US" w:eastAsia="zh-CN"/>
              </w:rPr>
              <w:t>。</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二、监狱企业价格扣除</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2.本项目对监狱企业</w:t>
            </w:r>
            <w:r>
              <w:rPr>
                <w:rFonts w:hint="eastAsia" w:ascii="宋体" w:hAnsi="宋体" w:eastAsia="宋体" w:cs="宋体"/>
                <w:color w:val="auto"/>
                <w:sz w:val="21"/>
                <w:szCs w:val="21"/>
                <w:highlight w:val="none"/>
                <w:lang w:eastAsia="zh-CN"/>
              </w:rPr>
              <w:t>参与投标</w:t>
            </w:r>
            <w:r>
              <w:rPr>
                <w:rFonts w:hint="eastAsia" w:ascii="宋体" w:hAnsi="宋体" w:eastAsia="宋体" w:cs="宋体"/>
                <w:color w:val="auto"/>
                <w:sz w:val="21"/>
                <w:szCs w:val="21"/>
                <w:highlight w:val="none"/>
              </w:rPr>
              <w:t>的价格给予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3.监狱企业参加政府采购活动时，应当提供由省级以上监狱管理局、戒毒管理局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含新疆生产建设兵团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出具的属于监狱企业的证明文件。</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监狱企业</w:t>
            </w:r>
            <w:r>
              <w:rPr>
                <w:rFonts w:hint="eastAsia" w:ascii="宋体" w:hAnsi="宋体" w:eastAsia="宋体" w:cs="宋体"/>
                <w:color w:val="auto"/>
                <w:sz w:val="21"/>
                <w:szCs w:val="21"/>
                <w:highlight w:val="none"/>
                <w:lang w:val="en-US" w:eastAsia="zh-CN"/>
              </w:rPr>
              <w:t>属于小型、微型企业的，不重复享受政策。</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三、残疾人福利性单位</w:t>
            </w:r>
            <w:r>
              <w:rPr>
                <w:rFonts w:hint="eastAsia" w:ascii="宋体" w:hAnsi="宋体" w:eastAsia="宋体" w:cs="宋体"/>
                <w:color w:val="auto"/>
                <w:sz w:val="21"/>
                <w:szCs w:val="21"/>
                <w:highlight w:val="none"/>
              </w:rPr>
              <w:t>价格扣除</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2.本项目对残疾人福利性单位参与投标的价格给予10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的扣除，用扣除后的价格参与评审。</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3.残疾人福利性单位参加政府采购活动时，应当提供本通知规定的《残疾人福利性单位声明函》。</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4.供应商提供的《残疾人福利性单位声明函》与事实不符的，依照《政府采购法》第七十七条第一款的规定追究法律责任。</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5.残疾人福利性单位属于小型、微型企业的，不重复享受政策。</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、失信企业报价加成或者扣分</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rPr>
              <w:t>《四川省政府采购当事人诚信管理办法》，对记入诚信档案的且在有效期内的失信供应商，在参加政府采购活动中实行10%的报价加成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以加成后报价作为该供应商报价评审。供应商失信行为惩戒实行无限制累加制，因其失信行为进行报价加成惩戒后报价超过政府采购预算或最高限价的，其</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按照无效处理</w:t>
            </w:r>
            <w:r>
              <w:rPr>
                <w:rFonts w:hint="eastAsia" w:ascii="宋体" w:hAnsi="宋体" w:eastAsia="宋体" w:cs="宋体"/>
                <w:color w:val="auto"/>
                <w:kern w:val="0"/>
                <w:sz w:val="21"/>
                <w:szCs w:val="21"/>
                <w:highlight w:val="none"/>
                <w:lang w:eastAsia="zh-CN"/>
              </w:rPr>
              <w:t>。</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2.供应商参加政府采购活动时，应当就</w:t>
            </w:r>
            <w:r>
              <w:rPr>
                <w:rFonts w:hint="eastAsia" w:ascii="宋体" w:hAnsi="宋体" w:eastAsia="宋体" w:cs="宋体"/>
                <w:color w:val="auto"/>
                <w:sz w:val="21"/>
                <w:szCs w:val="21"/>
                <w:highlight w:val="none"/>
                <w:lang w:val="en-US" w:eastAsia="zh-CN"/>
              </w:rPr>
              <w:t>其</w:t>
            </w:r>
            <w:r>
              <w:rPr>
                <w:rFonts w:hint="eastAsia" w:ascii="宋体" w:hAnsi="宋体" w:eastAsia="宋体" w:cs="宋体"/>
                <w:color w:val="auto"/>
                <w:sz w:val="21"/>
                <w:szCs w:val="21"/>
                <w:highlight w:val="none"/>
              </w:rPr>
              <w:t>诚信情况在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文件中进行承诺。</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3.“信用中国”网站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www.creditchina.gov.cn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中列入失信被执行人和重大税收违法案件当事人名单的供应商和</w:t>
            </w:r>
            <w:r>
              <w:rPr>
                <w:rFonts w:hint="eastAsia" w:ascii="宋体" w:hAnsi="宋体" w:eastAsia="宋体" w:cs="宋体"/>
                <w:color w:val="auto"/>
                <w:sz w:val="21"/>
                <w:szCs w:val="21"/>
                <w:highlight w:val="none"/>
                <w:lang w:eastAsia="zh-CN"/>
              </w:rPr>
              <w:t>“中国政府采购网”(</w:t>
            </w:r>
            <w:r>
              <w:rPr>
                <w:rFonts w:hint="eastAsia" w:ascii="宋体" w:hAnsi="宋体" w:eastAsia="宋体" w:cs="宋体"/>
                <w:color w:val="auto"/>
                <w:sz w:val="21"/>
                <w:szCs w:val="21"/>
                <w:highlight w:val="none"/>
              </w:rPr>
              <w:t>www.ccgp.gov.cn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政府采购严重违法失信行为记录名单中被财政部门禁止参加政府采购活动的供应商参加</w:t>
            </w: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作</w:t>
            </w:r>
            <w:r>
              <w:rPr>
                <w:rFonts w:hint="eastAsia" w:ascii="宋体" w:hAnsi="宋体" w:eastAsia="宋体" w:cs="宋体"/>
                <w:color w:val="auto"/>
                <w:sz w:val="21"/>
                <w:szCs w:val="21"/>
                <w:highlight w:val="none"/>
                <w:lang w:val="en-US" w:eastAsia="zh-CN"/>
              </w:rPr>
              <w:t>无效投标</w:t>
            </w:r>
            <w:r>
              <w:rPr>
                <w:rFonts w:hint="eastAsia" w:ascii="宋体" w:hAnsi="宋体" w:eastAsia="宋体" w:cs="宋体"/>
                <w:color w:val="auto"/>
                <w:sz w:val="21"/>
                <w:szCs w:val="21"/>
                <w:highlight w:val="none"/>
              </w:rPr>
              <w:t>处理，不予报价加成或者扣分。</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五、</w:t>
            </w:r>
            <w:r>
              <w:rPr>
                <w:rFonts w:ascii="宋体" w:hAnsi="宋体" w:eastAsia="宋体" w:cs="宋体"/>
                <w:color w:val="auto"/>
                <w:sz w:val="24"/>
                <w:szCs w:val="24"/>
                <w:highlight w:val="none"/>
              </w:rPr>
              <w:t>扶持少数民族地区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供应商注册地在民族自治区、自治州、自治县、民族乡的，在评审得分相同且最后报价相同的情况下优选推荐。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建议品牌或者供应商</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(如涉及)</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若采购文件涉及建议品牌或者供应商，其目的是为了准确清楚说明采购项目的技术标准和要求，其意思表示为“参照或相当于”建议品牌或者供应商，其品牌或供应商具有可替代性。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240" w:lineRule="auto"/>
              <w:ind w:left="24" w:leftChars="10" w:right="24" w:rightChars="10"/>
              <w:textAlignment w:val="auto"/>
              <w:rPr>
                <w:rFonts w:hint="eastAsia" w:ascii="宋体" w:hAnsi="宋体" w:eastAsia="宋体" w:cs="宋体"/>
                <w:color w:val="auto"/>
                <w:sz w:val="21"/>
                <w:szCs w:val="21"/>
                <w:highlight w:val="none"/>
                <w:lang w:val="en-US" w:eastAsia="zh-CN"/>
              </w:rPr>
            </w:pPr>
            <w:r>
              <w:rPr>
                <w:rFonts w:hint="eastAsia"/>
                <w:color w:val="auto"/>
                <w:highlight w:val="none"/>
                <w:lang w:val="en-US" w:eastAsia="zh-CN"/>
              </w:rPr>
              <w:t>节能产品、环境标志产品、无线局域网产品采购政策</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240" w:lineRule="auto"/>
              <w:ind w:left="60" w:leftChars="25" w:right="60" w:rightChars="25"/>
              <w:textAlignment w:val="auto"/>
              <w:rPr>
                <w:rFonts w:hint="eastAsia" w:ascii="宋体" w:hAnsi="宋体" w:eastAsia="宋体" w:cs="宋体"/>
                <w:color w:val="auto"/>
                <w:sz w:val="21"/>
                <w:szCs w:val="21"/>
                <w:highlight w:val="none"/>
                <w:lang w:val="en-US" w:eastAsia="zh-CN"/>
              </w:rPr>
            </w:pPr>
            <w:r>
              <w:rPr>
                <w:rFonts w:hint="eastAsia"/>
                <w:color w:val="auto"/>
                <w:highlight w:val="none"/>
                <w:lang w:val="en-US" w:eastAsia="zh-CN"/>
              </w:rPr>
              <w:t>本项目不涉及节能产品、环境标志产品、无线局域网产品，故不在采购文件中体现相关政策。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是否允许进口产品投标</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本项目不允许进口产品投标。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其他强制性规定</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(如涉及时作为实质性要求)</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国家或行业主管部门对采购产品的技术标准、质量标准和资格资质条件等有强制性规定的，必须符合其要求。如</w:t>
            </w:r>
            <w:r>
              <w:rPr>
                <w:rFonts w:hint="eastAsia" w:ascii="宋体" w:hAnsi="宋体" w:eastAsia="宋体" w:cs="宋体"/>
                <w:color w:val="auto"/>
                <w:sz w:val="21"/>
                <w:szCs w:val="21"/>
                <w:highlight w:val="none"/>
              </w:rPr>
              <w:t>涉及</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C认证产品的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C认证证书</w:t>
            </w: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投标文件中可不提供(招标文件</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在投标时提供证明材料的</w:t>
            </w:r>
            <w:r>
              <w:rPr>
                <w:rFonts w:hint="eastAsia" w:ascii="宋体" w:hAnsi="宋体" w:eastAsia="宋体" w:cs="宋体"/>
                <w:color w:val="auto"/>
                <w:sz w:val="21"/>
                <w:szCs w:val="21"/>
                <w:highlight w:val="none"/>
              </w:rPr>
              <w:t>除外)，</w:t>
            </w:r>
            <w:r>
              <w:rPr>
                <w:rFonts w:hint="eastAsia" w:ascii="宋体" w:hAnsi="宋体" w:eastAsia="宋体" w:cs="宋体"/>
                <w:color w:val="auto"/>
                <w:sz w:val="21"/>
                <w:szCs w:val="21"/>
                <w:highlight w:val="none"/>
                <w:lang w:val="en-US" w:eastAsia="zh-CN"/>
              </w:rPr>
              <w:t>供应商中标后</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val="en-US" w:eastAsia="zh-CN"/>
              </w:rPr>
              <w:t>签订采购合同时向采购人</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加盖投标人公章的3C证书复印件</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评</w:t>
            </w:r>
            <w:r>
              <w:rPr>
                <w:rFonts w:hint="eastAsia" w:ascii="宋体" w:hAnsi="宋体" w:eastAsia="宋体" w:cs="宋体"/>
                <w:color w:val="auto"/>
                <w:sz w:val="21"/>
                <w:szCs w:val="21"/>
                <w:highlight w:val="none"/>
              </w:rPr>
              <w:t>审</w:t>
            </w:r>
            <w:r>
              <w:rPr>
                <w:rFonts w:hint="eastAsia" w:ascii="宋体" w:hAnsi="宋体" w:eastAsia="宋体" w:cs="宋体"/>
                <w:color w:val="auto"/>
                <w:sz w:val="21"/>
                <w:szCs w:val="21"/>
                <w:highlight w:val="none"/>
                <w:lang w:val="zh-CN"/>
              </w:rPr>
              <w:t>情况的公告</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所有供应商投标文件资格性、符合性审查情况、采用综合评分法时的总得分和分项汇总得分情况、评审结果等将在</w:t>
            </w:r>
            <w:r>
              <w:rPr>
                <w:rFonts w:hint="eastAsia" w:ascii="宋体" w:hAnsi="宋体" w:eastAsia="宋体" w:cs="宋体"/>
                <w:color w:val="auto"/>
                <w:sz w:val="21"/>
                <w:szCs w:val="21"/>
                <w:highlight w:val="none"/>
                <w:lang w:eastAsia="zh-CN"/>
              </w:rPr>
              <w:t>“四川政府采购网”</w:t>
            </w:r>
            <w:r>
              <w:rPr>
                <w:rFonts w:hint="eastAsia" w:ascii="宋体" w:hAnsi="宋体" w:eastAsia="宋体" w:cs="宋体"/>
                <w:color w:val="auto"/>
                <w:sz w:val="21"/>
                <w:szCs w:val="21"/>
                <w:highlight w:val="none"/>
              </w:rPr>
              <w:t>采购结果公告附件中予以公告。</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中标通知书领取</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采购代理机构在中标人确定后2个工作日内，在“四川政府采购网”发布中标公告，同时采购代理机构将中标通知书快递至中标人。</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联系人：</w:t>
            </w:r>
            <w:r>
              <w:rPr>
                <w:rFonts w:hint="eastAsia" w:ascii="宋体" w:hAnsi="宋体" w:eastAsia="宋体" w:cs="宋体"/>
                <w:color w:val="auto"/>
                <w:sz w:val="21"/>
                <w:szCs w:val="21"/>
                <w:highlight w:val="none"/>
                <w:lang w:val="en-US" w:eastAsia="zh-CN"/>
              </w:rPr>
              <w:t>朱琴</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联系电话：028-61375575、62600820、62630990转601或602</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地址：</w:t>
            </w:r>
            <w:r>
              <w:rPr>
                <w:rFonts w:hint="eastAsia" w:ascii="宋体" w:hAnsi="宋体" w:eastAsia="宋体" w:cs="宋体"/>
                <w:color w:val="auto"/>
                <w:sz w:val="21"/>
                <w:szCs w:val="21"/>
                <w:highlight w:val="none"/>
                <w:lang w:eastAsia="zh-CN"/>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代理</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服务费</w:t>
            </w:r>
          </w:p>
        </w:tc>
        <w:tc>
          <w:tcPr>
            <w:tcW w:w="7171" w:type="dxa"/>
            <w:vAlign w:val="center"/>
          </w:tcPr>
          <w:p>
            <w:pPr>
              <w:pStyle w:val="72"/>
              <w:keepNext w:val="0"/>
              <w:keepLines w:val="0"/>
              <w:pageBreakBefore w:val="0"/>
              <w:widowControl w:val="0"/>
              <w:kinsoku/>
              <w:overflowPunct/>
              <w:bidi w:val="0"/>
              <w:adjustRightInd w:val="0"/>
              <w:spacing w:line="320" w:lineRule="exact"/>
              <w:ind w:left="28" w:leftChars="0" w:right="12" w:rightChars="5"/>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代理服务费率标准和代理服务费计算方法</w:t>
            </w:r>
          </w:p>
          <w:tbl>
            <w:tblPr>
              <w:tblStyle w:val="19"/>
              <w:tblW w:w="5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7"/>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77"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成交金额(万元)</w:t>
                  </w:r>
                </w:p>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类型</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货物类</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服务类</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77"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100以下</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1.5%</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1.5%</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77"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100－500</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1.1%</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0.8%</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77"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500－1000</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0.8%</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0.45%</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77"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1000－5000</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0.5%</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0.25%</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77"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5000－10000</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0.25%</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0.1%</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77"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10000－100000</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0.05%</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0.05%</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977"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1000000以上</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0.01%</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0.01%</w:t>
                  </w:r>
                </w:p>
              </w:tc>
              <w:tc>
                <w:tcPr>
                  <w:tcW w:w="1180" w:type="dxa"/>
                  <w:noWrap w:val="0"/>
                  <w:vAlign w:val="center"/>
                </w:tcPr>
                <w:p>
                  <w:pPr>
                    <w:pStyle w:val="72"/>
                    <w:keepNext w:val="0"/>
                    <w:keepLines w:val="0"/>
                    <w:pageBreakBefore w:val="0"/>
                    <w:widowControl w:val="0"/>
                    <w:kinsoku/>
                    <w:overflowPunct/>
                    <w:bidi w:val="0"/>
                    <w:adjustRightInd w:val="0"/>
                    <w:spacing w:line="320" w:lineRule="exact"/>
                    <w:ind w:left="28" w:leftChars="0" w:right="12" w:rightChars="5"/>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0.01%</w:t>
                  </w:r>
                </w:p>
              </w:tc>
            </w:tr>
          </w:tbl>
          <w:p>
            <w:pPr>
              <w:pStyle w:val="72"/>
              <w:keepNext w:val="0"/>
              <w:keepLines w:val="0"/>
              <w:pageBreakBefore w:val="0"/>
              <w:widowControl w:val="0"/>
              <w:kinsoku/>
              <w:overflowPunct/>
              <w:bidi w:val="0"/>
              <w:adjustRightInd w:val="0"/>
              <w:spacing w:line="320" w:lineRule="exact"/>
              <w:ind w:left="28" w:leftChars="0" w:right="12" w:rightChars="5"/>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注：</w:t>
            </w:r>
          </w:p>
          <w:p>
            <w:pPr>
              <w:pStyle w:val="72"/>
              <w:keepNext w:val="0"/>
              <w:keepLines w:val="0"/>
              <w:pageBreakBefore w:val="0"/>
              <w:widowControl w:val="0"/>
              <w:kinsoku/>
              <w:overflowPunct/>
              <w:bidi w:val="0"/>
              <w:adjustRightInd w:val="0"/>
              <w:spacing w:line="320" w:lineRule="exact"/>
              <w:ind w:left="28" w:leftChars="0" w:right="12" w:rightChars="5"/>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)按本表费率计算的收费为代理服务全过程的收费基准价格。</w:t>
            </w:r>
          </w:p>
          <w:p>
            <w:pPr>
              <w:pStyle w:val="72"/>
              <w:keepNext w:val="0"/>
              <w:keepLines w:val="0"/>
              <w:pageBreakBefore w:val="0"/>
              <w:widowControl w:val="0"/>
              <w:kinsoku/>
              <w:overflowPunct/>
              <w:bidi w:val="0"/>
              <w:adjustRightInd w:val="0"/>
              <w:spacing w:line="320" w:lineRule="exact"/>
              <w:ind w:left="28" w:leftChars="0" w:right="12" w:rightChars="5"/>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)采购代理机构下浮比例为20%(计费基数以采购预算为准)。</w:t>
            </w:r>
          </w:p>
          <w:p>
            <w:pPr>
              <w:pStyle w:val="72"/>
              <w:keepNext w:val="0"/>
              <w:keepLines w:val="0"/>
              <w:pageBreakBefore w:val="0"/>
              <w:widowControl w:val="0"/>
              <w:kinsoku/>
              <w:overflowPunct/>
              <w:bidi w:val="0"/>
              <w:adjustRightInd w:val="0"/>
              <w:spacing w:line="320" w:lineRule="exact"/>
              <w:ind w:left="28" w:leftChars="0" w:right="12" w:rightChars="5"/>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)代理服务收费按差额定率累进法计算。</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2.收取方式：中标</w:t>
            </w:r>
            <w:r>
              <w:rPr>
                <w:rFonts w:hint="eastAsia" w:ascii="宋体" w:hAnsi="宋体" w:eastAsia="宋体" w:cs="宋体"/>
                <w:color w:val="auto"/>
                <w:sz w:val="21"/>
                <w:szCs w:val="21"/>
                <w:highlight w:val="none"/>
                <w:lang w:val="zh-CN" w:eastAsia="zh-CN"/>
              </w:rPr>
              <w:t>通知发出后二个工作日内由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zh-CN" w:eastAsia="zh-CN"/>
              </w:rPr>
              <w:t>一次性支付</w:t>
            </w:r>
            <w:r>
              <w:rPr>
                <w:rFonts w:hint="eastAsia" w:ascii="宋体" w:hAnsi="宋体" w:eastAsia="宋体" w:cs="宋体"/>
                <w:color w:val="auto"/>
                <w:sz w:val="21"/>
                <w:szCs w:val="21"/>
                <w:highlight w:val="none"/>
                <w:lang w:val="en-US" w:eastAsia="zh-CN"/>
              </w:rPr>
              <w:t>至采购代理机构</w:t>
            </w:r>
            <w:r>
              <w:rPr>
                <w:rFonts w:hint="eastAsia" w:ascii="宋体" w:hAnsi="宋体" w:eastAsia="宋体" w:cs="宋体"/>
                <w:color w:val="auto"/>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履约保证金</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实质性要求</w:t>
            </w:r>
            <w:r>
              <w:rPr>
                <w:rFonts w:hint="eastAsia" w:ascii="宋体" w:hAnsi="宋体" w:eastAsia="宋体" w:cs="宋体"/>
                <w:color w:val="auto"/>
                <w:sz w:val="21"/>
                <w:szCs w:val="21"/>
                <w:highlight w:val="none"/>
                <w:lang w:eastAsia="zh-CN"/>
              </w:rPr>
              <w:t>)</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1.履约保证金：6</w:t>
            </w:r>
            <w:r>
              <w:rPr>
                <w:rFonts w:hint="eastAsia" w:cs="宋体"/>
                <w:color w:val="auto"/>
                <w:kern w:val="0"/>
                <w:sz w:val="21"/>
                <w:szCs w:val="21"/>
                <w:highlight w:val="none"/>
                <w:lang w:val="en-US" w:eastAsia="zh-CN" w:bidi="ar-SA"/>
              </w:rPr>
              <w:t>6500</w:t>
            </w:r>
            <w:r>
              <w:rPr>
                <w:rFonts w:hint="eastAsia" w:ascii="宋体" w:hAnsi="宋体" w:eastAsia="宋体" w:cs="宋体"/>
                <w:color w:val="auto"/>
                <w:kern w:val="0"/>
                <w:sz w:val="21"/>
                <w:szCs w:val="21"/>
                <w:highlight w:val="none"/>
                <w:lang w:val="en-US" w:eastAsia="zh-CN" w:bidi="ar-SA"/>
              </w:rPr>
              <w:t>元</w:t>
            </w:r>
            <w:r>
              <w:rPr>
                <w:rFonts w:hint="eastAsia" w:cs="宋体"/>
                <w:color w:val="auto"/>
                <w:kern w:val="0"/>
                <w:sz w:val="21"/>
                <w:szCs w:val="21"/>
                <w:highlight w:val="none"/>
                <w:lang w:val="en-US" w:eastAsia="zh-CN" w:bidi="ar-SA"/>
              </w:rPr>
              <w:t>(大写人民币：陆万陆仟伍佰元整)</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2.交款方式：投标人应在中标通知书发出之日起合同签订前以银行转账、支票、汇票、本票或者金融机构、担保机构出具的保函等非现金形式向采购人提交履约保证金，在收到采购人财务部门出具的履约保证金收据后，凭此凭证以及中标通知书与采购人指定的需求部门签定合同。</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3.履约保证金退还方式：履行合同约定完毕后,无质量问题和违约责任情况，供应商凭“验收报告单”、出具“履约保证金的收据”、“履约保证金退还申请”到采购人财务部门办理，无息退还。采购人收到供应商提交的履约保证金退还申请等资料后，30个日历天内退还供应商履约保证金。因采购人原因逾期退还的，还应向供应商支付未退还金额万分之五/天的违约金。</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4.履约保证金汇入的银行及账号：</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 收款账号：成都市技师学院</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 开户行：工行成都红光支行</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 银行账号：4402054609100031151</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5.履约保证金不予退还情形：一是供应商未按合同要求履行的，其履约保证金全部扣除。二是供应商缴纳了履约保证金，但因自身原因被取消成交资格或在成交公示期满之日起30日历天(含法定节假日)内供应商不按采购文件确定的事项与采购人签订合同的，其履约保证金不予退还</w:t>
            </w:r>
            <w:r>
              <w:rPr>
                <w:rFonts w:hint="eastAsia" w:ascii="宋体" w:hAnsi="宋体" w:eastAsia="宋体" w:cs="宋体"/>
                <w:color w:val="auto"/>
                <w:sz w:val="21"/>
                <w:szCs w:val="21"/>
                <w:highlight w:val="none"/>
                <w:lang w:val="en-US" w:eastAsia="zh-CN"/>
              </w:rPr>
              <w:t>。</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履约保证金不予退还的，将按照有关规定上缴国库。逾期退还履约保证金的，将依法承担法律责任，并赔偿供应商损失。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政府采购供应商信用融资</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通知书向银行提出贷款意向申请。</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3.“政采贷”政策咨询电话：</w:t>
            </w:r>
            <w:r>
              <w:rPr>
                <w:rFonts w:hint="eastAsia" w:ascii="宋体" w:hAnsi="宋体" w:eastAsia="宋体" w:cs="宋体"/>
                <w:color w:val="auto"/>
                <w:sz w:val="21"/>
                <w:szCs w:val="21"/>
                <w:highlight w:val="none"/>
                <w:lang w:val="zh-CN" w:eastAsia="zh-CN"/>
              </w:rPr>
              <w:t>028-61375575转6</w:t>
            </w:r>
            <w:r>
              <w:rPr>
                <w:rFonts w:hint="eastAsia" w:ascii="宋体" w:hAnsi="宋体" w:eastAsia="宋体" w:cs="宋体"/>
                <w:color w:val="auto"/>
                <w:sz w:val="21"/>
                <w:szCs w:val="21"/>
                <w:highlight w:val="none"/>
                <w:lang w:val="en-US" w:eastAsia="zh-CN"/>
              </w:rPr>
              <w:t>08。</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注：相关政策文件详见本采购文件附件内容。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政府采购合同公告</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备案</w:t>
            </w:r>
          </w:p>
        </w:tc>
        <w:tc>
          <w:tcPr>
            <w:tcW w:w="7171" w:type="dxa"/>
            <w:vAlign w:val="top"/>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政府采购合同签订之日起2个工作日内，政府采购合同将在</w:t>
            </w:r>
            <w:r>
              <w:rPr>
                <w:rFonts w:hint="eastAsia" w:ascii="宋体" w:hAnsi="宋体" w:eastAsia="宋体" w:cs="宋体"/>
                <w:color w:val="auto"/>
                <w:sz w:val="21"/>
                <w:szCs w:val="21"/>
                <w:highlight w:val="none"/>
                <w:lang w:eastAsia="zh-CN"/>
              </w:rPr>
              <w:t>“四川政府采购网”</w:t>
            </w:r>
            <w:r>
              <w:rPr>
                <w:rFonts w:hint="eastAsia" w:ascii="宋体" w:hAnsi="宋体" w:eastAsia="宋体" w:cs="宋体"/>
                <w:color w:val="auto"/>
                <w:sz w:val="21"/>
                <w:szCs w:val="21"/>
                <w:highlight w:val="none"/>
              </w:rPr>
              <w:t>公告；政府采购合同签订之日起七个工作日内，政府采购合同将向本采购项目同级财政部门</w:t>
            </w:r>
            <w:r>
              <w:rPr>
                <w:rFonts w:hint="eastAsia" w:ascii="宋体" w:hAnsi="宋体" w:eastAsia="宋体" w:cs="宋体"/>
                <w:color w:val="auto"/>
                <w:sz w:val="21"/>
                <w:szCs w:val="21"/>
                <w:highlight w:val="none"/>
                <w:lang w:val="zh-CN"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供应商询问</w:t>
            </w:r>
          </w:p>
        </w:tc>
        <w:tc>
          <w:tcPr>
            <w:tcW w:w="7171" w:type="dxa"/>
            <w:vAlign w:val="top"/>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根据委托代理协议约定，</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负责对采购文件技术参数部分的询问答复，</w:t>
            </w:r>
            <w:r>
              <w:rPr>
                <w:rFonts w:hint="eastAsia" w:ascii="宋体" w:hAnsi="宋体" w:eastAsia="宋体" w:cs="宋体"/>
                <w:color w:val="auto"/>
                <w:sz w:val="21"/>
                <w:szCs w:val="21"/>
                <w:highlight w:val="none"/>
                <w:lang w:val="en-US" w:eastAsia="zh-CN"/>
              </w:rPr>
              <w:t>四川乾新招投标代理有限公司</w:t>
            </w:r>
            <w:r>
              <w:rPr>
                <w:rFonts w:hint="eastAsia" w:ascii="宋体" w:hAnsi="宋体" w:eastAsia="宋体" w:cs="宋体"/>
                <w:color w:val="auto"/>
                <w:sz w:val="21"/>
                <w:szCs w:val="21"/>
                <w:highlight w:val="none"/>
              </w:rPr>
              <w:t>负责采购文件技术参数部分以外的询问答复</w:t>
            </w:r>
            <w:r>
              <w:rPr>
                <w:rFonts w:hint="eastAsia" w:ascii="宋体" w:hAnsi="宋体" w:eastAsia="宋体" w:cs="宋体"/>
                <w:color w:val="auto"/>
                <w:sz w:val="21"/>
                <w:szCs w:val="21"/>
                <w:highlight w:val="none"/>
                <w:lang w:eastAsia="zh-CN"/>
              </w:rPr>
              <w:t>。</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2.询问内容不得涉及评审秘密、国家机密和商业秘密等保密内容。</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联系人：</w:t>
            </w:r>
            <w:r>
              <w:rPr>
                <w:rFonts w:hint="eastAsia" w:ascii="宋体" w:hAnsi="宋体" w:eastAsia="宋体" w:cs="宋体"/>
                <w:color w:val="auto"/>
                <w:sz w:val="21"/>
                <w:szCs w:val="21"/>
                <w:highlight w:val="none"/>
                <w:lang w:val="en-US" w:eastAsia="zh-CN"/>
              </w:rPr>
              <w:t>王朝钢</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联系电话：</w:t>
            </w:r>
            <w:r>
              <w:rPr>
                <w:rFonts w:hint="eastAsia" w:ascii="宋体" w:hAnsi="宋体" w:eastAsia="宋体" w:cs="宋体"/>
                <w:color w:val="auto"/>
                <w:sz w:val="21"/>
                <w:szCs w:val="21"/>
                <w:highlight w:val="none"/>
                <w:lang w:eastAsia="zh-CN"/>
              </w:rPr>
              <w:t>028-61375575、62600820、62630990转</w:t>
            </w:r>
            <w:r>
              <w:rPr>
                <w:rFonts w:hint="eastAsia" w:ascii="宋体" w:hAnsi="宋体" w:eastAsia="宋体" w:cs="宋体"/>
                <w:color w:val="auto"/>
                <w:sz w:val="21"/>
                <w:szCs w:val="21"/>
                <w:highlight w:val="none"/>
                <w:lang w:val="en-US" w:eastAsia="zh-CN"/>
              </w:rPr>
              <w:t>636</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地址：成都市高新区吉庆三路333号蜀都中心二期一号楼一单元401号</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lang w:val="en-US" w:eastAsia="zh-CN"/>
              </w:rPr>
              <w:t>610041</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4.询问提出的范围及主体：</w:t>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采购文件及采购信息公告环节：依法获取采购文件的潜在供应商可以对采购文件及采购信息公告的内容向四川乾新招投标代理有限公司或采购人提出询问，仅对采购信息公告内容提出询问的，不限制询问主体。②采购过程、采购结果环节：参与采购活动的供应商可以对采购过程、采购结果相关问题向四川乾新招投标代理有限公司提出询问，未参与采购活动的供应商不得对此环节提出询问。③询问提出的时间原则上以政府采购活动中有效质疑的时间计算为准。</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供应商质疑</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根据委托代理协议约定，对于采购文件(招标文件技术条款和除政府采购法第二十二条之外的其他资格条件、专业商务要求)的质疑由采购人负责答复；对于采购过程或采购结果由四川乾新招投标代理有限公司负责答复。</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2.供应商提出质疑应当坚持依法依规、诚实信用原则；不得超出采购文件、采购过程、采购结果的范围，不得进行虚假、恶意质疑，不得以质疑为手段获取不当得利、实现非法目的。</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3.提出质疑函的时限要求：供应商认为采购文件、采购过程、中标使其权益受到损害的，可以在知道或者应知其权益受到损害之日起7个工作日内，以书面形式向采购人、采购代理机构提出质疑。</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 </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滕德伟</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028-61375575、62600820、62630990转656</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w:t>
            </w:r>
            <w:r>
              <w:rPr>
                <w:rFonts w:hint="eastAsia" w:ascii="宋体" w:hAnsi="宋体" w:eastAsia="宋体" w:cs="宋体"/>
                <w:color w:val="auto"/>
                <w:sz w:val="21"/>
                <w:szCs w:val="21"/>
                <w:highlight w:val="none"/>
                <w:lang w:val="zh-CN" w:eastAsia="zh-CN"/>
              </w:rPr>
              <w:t>成都市高新区吉庆三路333号蜀都中心二期一号楼一单元401号</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lang w:val="en-US" w:eastAsia="zh-CN"/>
              </w:rPr>
              <w:t>610041</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注：①根据《中华人民共和国政府采购法》等法律法规规定，供应商质疑应当有明确的请求和必要的证明材料，须符合《政府采购质疑和投诉办法》(财政部第94号令)规定，并使用财政部下发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质疑函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范本。</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明确的请求是指：供应商对采购文件还是对采购过程还是对中标结果提出质疑；想要达到的结果，如中标无效、废标、重新组织采购、赔偿、追究法律责任等；</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必要的证明材料是指：包含供应商的营业执照、授权委托书(法定代表人质疑时无需提供)、委托代理人身份证明、参加采购项目的证明、权益受到损害的证明材料、证明提出质疑的事实存在的材料等。</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供应商投诉</w:t>
            </w:r>
          </w:p>
        </w:tc>
        <w:tc>
          <w:tcPr>
            <w:tcW w:w="7171" w:type="dxa"/>
            <w:vAlign w:val="top"/>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投诉受理单位：</w:t>
            </w:r>
            <w:r>
              <w:rPr>
                <w:rFonts w:hint="eastAsia" w:ascii="宋体" w:hAnsi="宋体" w:eastAsia="宋体" w:cs="宋体"/>
                <w:color w:val="auto"/>
                <w:sz w:val="21"/>
                <w:szCs w:val="21"/>
                <w:highlight w:val="none"/>
                <w:lang w:val="en-US" w:eastAsia="zh-CN"/>
              </w:rPr>
              <w:t>成都市财政局</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联系电话：028-61882648</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地址：四川省成都市锦城大道366号</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邮编：61</w:t>
            </w:r>
            <w:r>
              <w:rPr>
                <w:rFonts w:hint="eastAsia" w:ascii="宋体" w:hAnsi="宋体" w:eastAsia="宋体" w:cs="宋体"/>
                <w:color w:val="auto"/>
                <w:sz w:val="21"/>
                <w:szCs w:val="21"/>
                <w:highlight w:val="none"/>
                <w:lang w:val="en-US" w:eastAsia="zh-CN"/>
              </w:rPr>
              <w:t xml:space="preserve">0041 </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注：供应商投诉应当有明确的请求和必要的证明材料。供应商投诉的事项不得超出已质疑事项的范围，须符合《政府采购质疑和投诉办法》(财政部第94号令)规定，并使用财政部下发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投诉书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开评标工作咨询</w:t>
            </w:r>
          </w:p>
        </w:tc>
        <w:tc>
          <w:tcPr>
            <w:tcW w:w="7171"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联系人：</w:t>
            </w:r>
            <w:r>
              <w:rPr>
                <w:rFonts w:hint="eastAsia" w:cs="宋体"/>
                <w:color w:val="auto"/>
                <w:sz w:val="21"/>
                <w:szCs w:val="21"/>
                <w:highlight w:val="none"/>
                <w:lang w:val="en-US" w:eastAsia="zh-CN"/>
              </w:rPr>
              <w:t>郭婉莹</w:t>
            </w:r>
          </w:p>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联系电话：</w:t>
            </w:r>
            <w:r>
              <w:rPr>
                <w:rFonts w:hint="eastAsia" w:ascii="宋体" w:hAnsi="宋体" w:eastAsia="宋体" w:cs="宋体"/>
                <w:color w:val="auto"/>
                <w:sz w:val="21"/>
                <w:szCs w:val="21"/>
                <w:highlight w:val="none"/>
                <w:lang w:eastAsia="zh-CN"/>
              </w:rPr>
              <w:t>028-61375575、62600820、62630990转</w:t>
            </w:r>
            <w:r>
              <w:rPr>
                <w:rFonts w:hint="eastAsia" w:cs="宋体"/>
                <w:color w:val="auto"/>
                <w:sz w:val="21"/>
                <w:szCs w:val="21"/>
                <w:highlight w:val="none"/>
                <w:lang w:val="en-US" w:eastAsia="zh-CN"/>
              </w:rPr>
              <w:t>617</w:t>
            </w:r>
            <w:bookmarkStart w:id="1228" w:name="_GoBack"/>
            <w:bookmarkEnd w:id="12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服务质量投诉电话</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联系人：滕德伟</w:t>
            </w:r>
          </w:p>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r>
              <w:rPr>
                <w:rFonts w:hint="eastAsia" w:ascii="宋体" w:hAnsi="宋体" w:eastAsia="宋体" w:cs="宋体"/>
                <w:color w:val="auto"/>
                <w:sz w:val="21"/>
                <w:szCs w:val="21"/>
                <w:highlight w:val="none"/>
                <w:lang w:eastAsia="zh-CN"/>
              </w:rPr>
              <w:t>028-61375575、62600820、62630990转656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声明承诺提醒</w:t>
            </w:r>
          </w:p>
        </w:tc>
        <w:tc>
          <w:tcPr>
            <w:tcW w:w="7171"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投标人的投标</w:t>
            </w:r>
            <w:r>
              <w:rPr>
                <w:rFonts w:hint="eastAsia" w:ascii="宋体" w:hAnsi="宋体" w:eastAsia="宋体" w:cs="宋体"/>
                <w:color w:val="auto"/>
                <w:sz w:val="21"/>
                <w:szCs w:val="21"/>
                <w:highlight w:val="none"/>
                <w:lang w:val="zh-CN"/>
              </w:rPr>
              <w:t>文件中提供的各种声明和承诺应当真实有效，无效声明和承诺、虚假声明和承诺将由</w:t>
            </w:r>
            <w:r>
              <w:rPr>
                <w:rFonts w:hint="eastAsia" w:ascii="宋体" w:hAnsi="宋体" w:eastAsia="宋体" w:cs="宋体"/>
                <w:color w:val="auto"/>
                <w:sz w:val="21"/>
                <w:szCs w:val="21"/>
                <w:highlight w:val="none"/>
                <w:lang w:val="en-US" w:eastAsia="zh-CN"/>
              </w:rPr>
              <w:t>投标人自行</w:t>
            </w:r>
            <w:r>
              <w:rPr>
                <w:rFonts w:hint="eastAsia" w:ascii="宋体" w:hAnsi="宋体" w:eastAsia="宋体" w:cs="宋体"/>
                <w:color w:val="auto"/>
                <w:sz w:val="21"/>
                <w:szCs w:val="21"/>
                <w:highlight w:val="none"/>
                <w:lang w:val="zh-CN"/>
              </w:rPr>
              <w:t>承担由此带来的</w:t>
            </w:r>
            <w:r>
              <w:rPr>
                <w:rFonts w:hint="eastAsia" w:ascii="宋体" w:hAnsi="宋体" w:eastAsia="宋体" w:cs="宋体"/>
                <w:color w:val="auto"/>
                <w:sz w:val="21"/>
                <w:szCs w:val="21"/>
                <w:highlight w:val="none"/>
                <w:lang w:val="en-US" w:eastAsia="zh-CN"/>
              </w:rPr>
              <w:t>一切</w:t>
            </w:r>
            <w:r>
              <w:rPr>
                <w:rFonts w:hint="eastAsia" w:ascii="宋体" w:hAnsi="宋体" w:eastAsia="宋体" w:cs="宋体"/>
                <w:color w:val="auto"/>
                <w:sz w:val="21"/>
                <w:szCs w:val="21"/>
                <w:highlight w:val="none"/>
                <w:lang w:val="zh-CN"/>
              </w:rPr>
              <w:t>不利后果，</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lang w:val="zh-CN"/>
              </w:rPr>
              <w:t>还将报告监管部门追究</w:t>
            </w:r>
            <w:r>
              <w:rPr>
                <w:rFonts w:hint="eastAsia" w:ascii="宋体" w:hAnsi="宋体" w:eastAsia="宋体" w:cs="宋体"/>
                <w:color w:val="auto"/>
                <w:sz w:val="21"/>
                <w:szCs w:val="21"/>
                <w:highlight w:val="none"/>
                <w:lang w:val="en-US" w:eastAsia="zh-CN"/>
              </w:rPr>
              <w:t>其</w:t>
            </w:r>
            <w:r>
              <w:rPr>
                <w:rFonts w:hint="eastAsia" w:ascii="宋体" w:hAnsi="宋体" w:eastAsia="宋体" w:cs="宋体"/>
                <w:color w:val="auto"/>
                <w:sz w:val="21"/>
                <w:szCs w:val="21"/>
                <w:highlight w:val="none"/>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8"/>
              <w:keepNext w:val="0"/>
              <w:keepLines w:val="0"/>
              <w:pageBreakBefore w:val="0"/>
              <w:widowControl w:val="0"/>
              <w:numPr>
                <w:ilvl w:val="0"/>
                <w:numId w:val="8"/>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eastAsia="zh-CN"/>
              </w:rPr>
            </w:pPr>
          </w:p>
        </w:tc>
        <w:tc>
          <w:tcPr>
            <w:tcW w:w="2009"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171" w:type="dxa"/>
            <w:vAlign w:val="center"/>
          </w:tcPr>
          <w:p>
            <w:pPr>
              <w:pStyle w:val="4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若招标文件中其他内容与投标人须知</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附表内容不一致的，以投标人须知</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附表为准。</w:t>
            </w:r>
          </w:p>
        </w:tc>
      </w:tr>
    </w:tbl>
    <w:p>
      <w:pPr>
        <w:pStyle w:val="46"/>
        <w:bidi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38" w:name="_Toc18793"/>
      <w:bookmarkStart w:id="39" w:name="_Toc2042"/>
      <w:bookmarkStart w:id="40" w:name="_Toc26593"/>
      <w:bookmarkStart w:id="41" w:name="_Toc23295"/>
      <w:bookmarkStart w:id="42" w:name="_Toc4011"/>
      <w:r>
        <w:rPr>
          <w:rFonts w:hint="eastAsia" w:ascii="宋体" w:hAnsi="宋体" w:eastAsia="宋体" w:cs="宋体"/>
          <w:color w:val="auto"/>
          <w:highlight w:val="none"/>
        </w:rPr>
        <w:t>总 则</w:t>
      </w:r>
      <w:bookmarkEnd w:id="37"/>
      <w:bookmarkEnd w:id="38"/>
      <w:bookmarkEnd w:id="39"/>
      <w:bookmarkEnd w:id="40"/>
      <w:bookmarkEnd w:id="41"/>
      <w:bookmarkEnd w:id="42"/>
    </w:p>
    <w:p>
      <w:pPr>
        <w:pStyle w:val="27"/>
        <w:bidi w:val="0"/>
        <w:rPr>
          <w:rFonts w:hint="eastAsia" w:ascii="宋体" w:hAnsi="宋体" w:eastAsia="宋体" w:cs="宋体"/>
          <w:color w:val="auto"/>
          <w:highlight w:val="none"/>
        </w:rPr>
      </w:pPr>
      <w:bookmarkStart w:id="43" w:name="_Toc308084574"/>
      <w:bookmarkStart w:id="44" w:name="_Toc308188129"/>
      <w:bookmarkStart w:id="45" w:name="_Toc309897492"/>
      <w:bookmarkStart w:id="46" w:name="_Toc6574"/>
      <w:bookmarkStart w:id="47" w:name="_Toc307501086"/>
      <w:bookmarkStart w:id="48" w:name="_Toc327196263"/>
      <w:bookmarkStart w:id="49" w:name="_Toc319440119"/>
      <w:bookmarkStart w:id="50" w:name="_Toc20769"/>
      <w:bookmarkStart w:id="51" w:name="_Toc23796"/>
      <w:bookmarkStart w:id="52" w:name="_Toc32648"/>
      <w:bookmarkStart w:id="53" w:name="_Toc307564829"/>
      <w:bookmarkStart w:id="54" w:name="_Toc3601"/>
      <w:bookmarkStart w:id="55" w:name="_Toc319439877"/>
      <w:bookmarkStart w:id="56" w:name="_Toc31870"/>
      <w:bookmarkStart w:id="57" w:name="_Toc5790"/>
      <w:bookmarkStart w:id="58" w:name="_Toc10311"/>
      <w:bookmarkStart w:id="59" w:name="_Toc12046"/>
      <w:bookmarkStart w:id="60" w:name="_Toc28450"/>
      <w:bookmarkStart w:id="61" w:name="_Toc29532"/>
      <w:bookmarkStart w:id="62" w:name="_Toc217446034"/>
      <w:bookmarkStart w:id="63" w:name="_Toc32483"/>
      <w:r>
        <w:rPr>
          <w:rFonts w:hint="eastAsia" w:ascii="宋体" w:hAnsi="宋体" w:eastAsia="宋体" w:cs="宋体"/>
          <w:color w:val="auto"/>
          <w:highlight w:val="none"/>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9"/>
        <w:numPr>
          <w:ilvl w:val="2"/>
          <w:numId w:val="0"/>
        </w:numPr>
        <w:bidi w:val="0"/>
        <w:ind w:leftChars="200"/>
        <w:rPr>
          <w:rFonts w:hint="eastAsia" w:ascii="宋体" w:hAnsi="宋体" w:eastAsia="宋体" w:cs="宋体"/>
          <w:color w:val="auto"/>
          <w:highlight w:val="none"/>
        </w:rPr>
      </w:pPr>
      <w:r>
        <w:rPr>
          <w:rFonts w:hint="eastAsia" w:ascii="宋体" w:hAnsi="宋体" w:eastAsia="宋体" w:cs="宋体"/>
          <w:color w:val="auto"/>
          <w:highlight w:val="none"/>
        </w:rPr>
        <w:t>本招标文件仅适用于本次公开招标采购项目。</w:t>
      </w:r>
    </w:p>
    <w:p>
      <w:pPr>
        <w:pStyle w:val="27"/>
        <w:bidi w:val="0"/>
        <w:rPr>
          <w:rFonts w:hint="eastAsia" w:ascii="宋体" w:hAnsi="宋体" w:eastAsia="宋体" w:cs="宋体"/>
          <w:color w:val="auto"/>
          <w:highlight w:val="none"/>
        </w:rPr>
      </w:pPr>
      <w:bookmarkStart w:id="64" w:name="_Toc24751"/>
      <w:bookmarkStart w:id="65" w:name="_Toc308084575"/>
      <w:bookmarkStart w:id="66" w:name="_Toc308188130"/>
      <w:bookmarkStart w:id="67" w:name="_Toc524"/>
      <w:bookmarkStart w:id="68" w:name="_Toc319440120"/>
      <w:bookmarkStart w:id="69" w:name="_Toc19670"/>
      <w:bookmarkStart w:id="70" w:name="_Toc2775"/>
      <w:bookmarkStart w:id="71" w:name="_Toc12194"/>
      <w:bookmarkStart w:id="72" w:name="_Toc8086"/>
      <w:bookmarkStart w:id="73" w:name="_Toc319439878"/>
      <w:bookmarkStart w:id="74" w:name="_Toc7942"/>
      <w:bookmarkStart w:id="75" w:name="_Toc307501087"/>
      <w:bookmarkStart w:id="76" w:name="_Toc156"/>
      <w:bookmarkStart w:id="77" w:name="_Toc307564830"/>
      <w:bookmarkStart w:id="78" w:name="_Toc19069"/>
      <w:bookmarkStart w:id="79" w:name="_Toc24985"/>
      <w:bookmarkStart w:id="80" w:name="_Toc327196264"/>
      <w:bookmarkStart w:id="81" w:name="_Toc13022"/>
      <w:bookmarkStart w:id="82" w:name="_Toc309897493"/>
      <w:bookmarkStart w:id="83" w:name="_Toc16858"/>
      <w:bookmarkStart w:id="84" w:name="_Toc217446035"/>
      <w:r>
        <w:rPr>
          <w:rFonts w:hint="eastAsia" w:ascii="宋体" w:hAnsi="宋体" w:eastAsia="宋体" w:cs="宋体"/>
          <w:color w:val="auto"/>
          <w:highlight w:val="none"/>
        </w:rPr>
        <w:t>有关定义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“采购人”系指依法进行政府采购的国家机关、事业单位、团体组织。本次招标的采购人是</w:t>
      </w:r>
      <w:r>
        <w:rPr>
          <w:rFonts w:hint="eastAsia" w:ascii="宋体" w:hAnsi="宋体" w:eastAsia="宋体" w:cs="宋体"/>
          <w:color w:val="auto"/>
          <w:highlight w:val="none"/>
          <w:lang w:val="en-US" w:eastAsia="zh-CN"/>
        </w:rPr>
        <w:t>成都市技师学院</w:t>
      </w:r>
      <w:r>
        <w:rPr>
          <w:rFonts w:hint="eastAsia" w:ascii="宋体" w:hAnsi="宋体" w:eastAsia="宋体" w:cs="宋体"/>
          <w:color w:val="auto"/>
          <w:highlight w:val="none"/>
        </w:rPr>
        <w:t>。</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“采购代理机构”系指根据采购人的委托依法办理招标事宜的采购机构。本次招标的采购代理机构是四川乾新招投标代理有限公司。</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“招标采购单位”系指“采购人”和“采购代理机构”的统称。</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“投标人”系指购买了招标文件拟参加投标和向采购人提供货物及相应服务的供应商。</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本招标文件各部分规定的期间以时、日、月、年计算。期间开始的时和日，不计算在期间内，而从次日开始计算。期间届满的最后一天是节假日的，以节假日后的第一日为期间届满的日期。</w:t>
      </w:r>
    </w:p>
    <w:p>
      <w:pPr>
        <w:pStyle w:val="28"/>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本招标文件各部分规定的时间均以北京时间为准。</w:t>
      </w:r>
    </w:p>
    <w:p>
      <w:pPr>
        <w:pStyle w:val="27"/>
        <w:bidi w:val="0"/>
        <w:rPr>
          <w:rFonts w:hint="eastAsia" w:ascii="宋体" w:hAnsi="宋体" w:eastAsia="宋体" w:cs="宋体"/>
          <w:color w:val="auto"/>
          <w:highlight w:val="none"/>
        </w:rPr>
      </w:pPr>
      <w:bookmarkStart w:id="85" w:name="_Toc24547"/>
      <w:bookmarkStart w:id="86" w:name="_Toc217446036"/>
      <w:bookmarkStart w:id="87" w:name="_Toc307564831"/>
      <w:bookmarkStart w:id="88" w:name="_Toc7511"/>
      <w:bookmarkStart w:id="89" w:name="_Toc308084576"/>
      <w:bookmarkStart w:id="90" w:name="_Toc319439879"/>
      <w:bookmarkStart w:id="91" w:name="_Toc183682344"/>
      <w:bookmarkStart w:id="92" w:name="_Toc22174"/>
      <w:bookmarkStart w:id="93" w:name="_Toc308188131"/>
      <w:bookmarkStart w:id="94" w:name="_Toc29784"/>
      <w:bookmarkStart w:id="95" w:name="_Toc23383"/>
      <w:bookmarkStart w:id="96" w:name="_Toc30244"/>
      <w:bookmarkStart w:id="97" w:name="_Toc217390843"/>
      <w:bookmarkStart w:id="98" w:name="_Toc3060"/>
      <w:bookmarkStart w:id="99" w:name="_Toc309897494"/>
      <w:bookmarkStart w:id="100" w:name="_Toc183582207"/>
      <w:bookmarkStart w:id="101" w:name="_Toc26508"/>
      <w:bookmarkStart w:id="102" w:name="_Toc307501088"/>
      <w:bookmarkStart w:id="103" w:name="_Toc327196265"/>
      <w:bookmarkStart w:id="104" w:name="_Toc319440121"/>
      <w:bookmarkStart w:id="105" w:name="_Toc5803"/>
      <w:bookmarkStart w:id="106" w:name="_Toc4501"/>
      <w:bookmarkStart w:id="107" w:name="_Toc30689"/>
      <w:bookmarkStart w:id="108" w:name="_Toc31295"/>
      <w:r>
        <w:rPr>
          <w:rFonts w:hint="eastAsia" w:ascii="宋体" w:hAnsi="宋体" w:eastAsia="宋体" w:cs="宋体"/>
          <w:color w:val="auto"/>
          <w:highlight w:val="none"/>
        </w:rPr>
        <w:t>合格的投标人</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ascii="宋体" w:hAnsi="宋体" w:eastAsia="宋体" w:cs="宋体"/>
          <w:color w:val="auto"/>
          <w:highlight w:val="none"/>
          <w:lang w:val="en-US" w:eastAsia="zh-CN"/>
        </w:rPr>
        <w:t>(实质性要求)</w:t>
      </w:r>
      <w:bookmarkEnd w:id="105"/>
      <w:bookmarkEnd w:id="106"/>
      <w:bookmarkEnd w:id="107"/>
      <w:bookmarkEnd w:id="108"/>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合格的投标人应具备以下条件：</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本招标文件“投标邀请”第五条规定的条件；</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遵守国家有关的法律、法规、规章和其他政策制度；</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向采购代理机构</w:t>
      </w:r>
      <w:r>
        <w:rPr>
          <w:rFonts w:hint="eastAsia" w:ascii="宋体" w:hAnsi="宋体" w:eastAsia="宋体" w:cs="宋体"/>
          <w:color w:val="auto"/>
          <w:highlight w:val="none"/>
          <w:lang w:val="en-US" w:eastAsia="zh-CN"/>
        </w:rPr>
        <w:t>依法获取了</w:t>
      </w:r>
      <w:r>
        <w:rPr>
          <w:rFonts w:hint="eastAsia" w:ascii="宋体" w:hAnsi="宋体" w:eastAsia="宋体" w:cs="宋体"/>
          <w:color w:val="auto"/>
          <w:highlight w:val="none"/>
        </w:rPr>
        <w:t>招标文件并</w:t>
      </w:r>
      <w:r>
        <w:rPr>
          <w:rFonts w:hint="eastAsia" w:ascii="宋体" w:hAnsi="宋体" w:eastAsia="宋体" w:cs="宋体"/>
          <w:color w:val="auto"/>
          <w:highlight w:val="none"/>
          <w:lang w:val="en-US" w:eastAsia="zh-CN"/>
        </w:rPr>
        <w:t>完成</w:t>
      </w:r>
      <w:r>
        <w:rPr>
          <w:rFonts w:hint="eastAsia" w:ascii="宋体" w:hAnsi="宋体" w:eastAsia="宋体" w:cs="宋体"/>
          <w:color w:val="auto"/>
          <w:highlight w:val="none"/>
        </w:rPr>
        <w:t>登记。</w:t>
      </w:r>
    </w:p>
    <w:p>
      <w:pPr>
        <w:pStyle w:val="27"/>
        <w:bidi w:val="0"/>
        <w:rPr>
          <w:rFonts w:hint="eastAsia" w:ascii="宋体" w:hAnsi="宋体" w:eastAsia="宋体" w:cs="宋体"/>
          <w:color w:val="auto"/>
          <w:highlight w:val="none"/>
        </w:rPr>
      </w:pPr>
      <w:bookmarkStart w:id="109" w:name="_Toc5067"/>
      <w:bookmarkStart w:id="110" w:name="_Toc307501089"/>
      <w:bookmarkStart w:id="111" w:name="_Toc28895"/>
      <w:bookmarkStart w:id="112" w:name="_Toc319440122"/>
      <w:bookmarkStart w:id="113" w:name="_Toc217446037"/>
      <w:bookmarkStart w:id="114" w:name="_Toc26952"/>
      <w:bookmarkStart w:id="115" w:name="_Toc183582208"/>
      <w:bookmarkStart w:id="116" w:name="_Toc309897495"/>
      <w:bookmarkStart w:id="117" w:name="_Toc4414"/>
      <w:bookmarkStart w:id="118" w:name="_Toc307564832"/>
      <w:bookmarkStart w:id="119" w:name="_Toc12293"/>
      <w:bookmarkStart w:id="120" w:name="_Toc21649"/>
      <w:bookmarkStart w:id="121" w:name="_Toc319439880"/>
      <w:bookmarkStart w:id="122" w:name="_Toc308084577"/>
      <w:bookmarkStart w:id="123" w:name="_Toc183682345"/>
      <w:bookmarkStart w:id="124" w:name="_Toc9761"/>
      <w:bookmarkStart w:id="125" w:name="_Toc308188132"/>
      <w:bookmarkStart w:id="126" w:name="_Toc14323"/>
      <w:bookmarkStart w:id="127" w:name="_Toc327196266"/>
      <w:bookmarkStart w:id="128" w:name="_Toc7047"/>
      <w:bookmarkStart w:id="129" w:name="_Toc20132"/>
      <w:bookmarkStart w:id="130" w:name="_Toc31729"/>
      <w:bookmarkStart w:id="131" w:name="_Toc4150"/>
      <w:r>
        <w:rPr>
          <w:rFonts w:hint="eastAsia" w:ascii="宋体" w:hAnsi="宋体" w:eastAsia="宋体" w:cs="宋体"/>
          <w:color w:val="auto"/>
          <w:highlight w:val="none"/>
        </w:rPr>
        <w:t>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color w:val="auto"/>
          <w:highlight w:val="none"/>
          <w:lang w:val="en-US" w:eastAsia="zh-CN"/>
        </w:rPr>
        <w:t>(实质性要求)</w:t>
      </w:r>
      <w:bookmarkEnd w:id="128"/>
      <w:bookmarkEnd w:id="129"/>
      <w:bookmarkEnd w:id="130"/>
      <w:bookmarkEnd w:id="131"/>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投标人参加投标的有关费用由投标人自行承担。</w:t>
      </w:r>
    </w:p>
    <w:p>
      <w:pPr>
        <w:pStyle w:val="27"/>
        <w:bidi w:val="0"/>
        <w:rPr>
          <w:rFonts w:hint="eastAsia" w:ascii="宋体" w:hAnsi="宋体" w:eastAsia="宋体" w:cs="宋体"/>
          <w:color w:val="auto"/>
          <w:highlight w:val="none"/>
        </w:rPr>
      </w:pPr>
      <w:bookmarkStart w:id="132" w:name="_Toc319440123"/>
      <w:bookmarkStart w:id="133" w:name="_Toc27927"/>
      <w:bookmarkStart w:id="134" w:name="_Toc18993"/>
      <w:bookmarkStart w:id="135" w:name="_Toc319439881"/>
      <w:bookmarkStart w:id="136" w:name="_Toc7710"/>
      <w:bookmarkStart w:id="137" w:name="_Toc307501090"/>
      <w:bookmarkStart w:id="138" w:name="_Toc28490"/>
      <w:bookmarkStart w:id="139" w:name="_Toc11131"/>
      <w:bookmarkStart w:id="140" w:name="_Toc11996"/>
      <w:bookmarkStart w:id="141" w:name="_Toc18984"/>
      <w:bookmarkStart w:id="142" w:name="_Toc27604"/>
      <w:bookmarkStart w:id="143" w:name="_Toc327196267"/>
      <w:bookmarkStart w:id="144" w:name="_Toc308084578"/>
      <w:bookmarkStart w:id="145" w:name="_Toc308188133"/>
      <w:bookmarkStart w:id="146" w:name="_Toc307564833"/>
      <w:bookmarkStart w:id="147" w:name="_Toc309897496"/>
      <w:bookmarkStart w:id="148" w:name="_Toc23461"/>
      <w:bookmarkStart w:id="149" w:name="_Toc5564"/>
      <w:bookmarkStart w:id="150" w:name="_Toc11923"/>
      <w:bookmarkStart w:id="151" w:name="_Toc433"/>
      <w:r>
        <w:rPr>
          <w:rFonts w:hint="eastAsia" w:ascii="宋体" w:hAnsi="宋体" w:eastAsia="宋体" w:cs="宋体"/>
          <w:color w:val="auto"/>
          <w:highlight w:val="none"/>
        </w:rPr>
        <w:t>充分、公平竞争保障措施</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ascii="宋体" w:hAnsi="宋体" w:eastAsia="宋体" w:cs="宋体"/>
          <w:color w:val="auto"/>
          <w:highlight w:val="none"/>
          <w:lang w:val="en-US" w:eastAsia="zh-CN"/>
        </w:rPr>
        <w:t>(实质性要求)</w:t>
      </w:r>
      <w:bookmarkEnd w:id="148"/>
      <w:bookmarkEnd w:id="149"/>
      <w:bookmarkEnd w:id="150"/>
      <w:bookmarkEnd w:id="151"/>
    </w:p>
    <w:p>
      <w:pPr>
        <w:pStyle w:val="28"/>
        <w:bidi w:val="0"/>
        <w:rPr>
          <w:rFonts w:hint="eastAsia" w:ascii="宋体" w:hAnsi="宋体" w:eastAsia="宋体" w:cs="宋体"/>
          <w:color w:val="auto"/>
          <w:highlight w:val="none"/>
        </w:rPr>
      </w:pPr>
      <w:bookmarkStart w:id="152" w:name="_Toc13891"/>
      <w:bookmarkStart w:id="153" w:name="_Toc327196268"/>
      <w:bookmarkStart w:id="154" w:name="_Toc217446038"/>
      <w:bookmarkStart w:id="155" w:name="_Toc183582209"/>
      <w:bookmarkStart w:id="156" w:name="_Toc183682346"/>
      <w:bookmarkStart w:id="157" w:name="_Toc77400779"/>
      <w:bookmarkStart w:id="158" w:name="_Toc89075875"/>
      <w:r>
        <w:rPr>
          <w:rFonts w:hint="eastAsia" w:ascii="宋体" w:hAnsi="宋体" w:eastAsia="宋体" w:cs="宋体"/>
          <w:color w:val="auto"/>
          <w:highlight w:val="none"/>
        </w:rPr>
        <w:t>提供相同品牌产品处理。</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eastAsia="宋体" w:cs="宋体"/>
          <w:color w:val="auto"/>
          <w:highlight w:val="none"/>
          <w:lang w:eastAsia="zh-CN"/>
        </w:rPr>
        <w:t>随机抽签</w:t>
      </w:r>
      <w:r>
        <w:rPr>
          <w:rFonts w:hint="eastAsia" w:ascii="宋体" w:hAnsi="宋体" w:eastAsia="宋体" w:cs="宋体"/>
          <w:color w:val="auto"/>
          <w:highlight w:val="none"/>
        </w:rPr>
        <w:t>的方式确定一个投标人获得中标人推荐资格，其他同品牌投标人不作为中标候选人。</w:t>
      </w:r>
    </w:p>
    <w:p>
      <w:pPr>
        <w:pStyle w:val="29"/>
        <w:bidi w:val="0"/>
        <w:rPr>
          <w:rFonts w:hint="default" w:ascii="宋体" w:hAnsi="宋体" w:eastAsia="宋体" w:cs="宋体"/>
          <w:b/>
          <w:bCs/>
          <w:color w:val="auto"/>
          <w:highlight w:val="none"/>
          <w:lang w:val="en-US" w:eastAsia="zh-CN"/>
        </w:rPr>
      </w:pPr>
      <w:r>
        <w:rPr>
          <w:rFonts w:hint="eastAsia" w:cs="宋体"/>
          <w:b/>
          <w:bCs/>
          <w:color w:val="auto"/>
          <w:highlight w:val="none"/>
          <w:lang w:val="en-US" w:eastAsia="zh-CN"/>
        </w:rPr>
        <w:t>注：本项目不涉及核心产品。</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利害关系供应商处理。</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前期参与供应商处理。</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9"/>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注：</w:t>
      </w:r>
      <w:r>
        <w:rPr>
          <w:rFonts w:hint="eastAsia" w:ascii="宋体" w:hAnsi="宋体" w:eastAsia="宋体" w:cs="宋体"/>
          <w:b/>
          <w:bCs/>
          <w:color w:val="auto"/>
          <w:highlight w:val="none"/>
        </w:rPr>
        <w:t>本项目无符合本条规定的供应商。</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利害关系代理人处理。</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在同一合同项下的采购项目中，</w:t>
      </w:r>
      <w:r>
        <w:rPr>
          <w:rFonts w:hint="eastAsia" w:ascii="宋体" w:hAnsi="宋体" w:eastAsia="宋体" w:cs="宋体"/>
          <w:color w:val="auto"/>
          <w:highlight w:val="none"/>
          <w:lang w:val="en-US" w:eastAsia="zh-CN"/>
        </w:rPr>
        <w:t>若有</w:t>
      </w:r>
      <w:r>
        <w:rPr>
          <w:rFonts w:hint="eastAsia" w:ascii="宋体" w:hAnsi="宋体" w:eastAsia="宋体" w:cs="宋体"/>
          <w:color w:val="auto"/>
          <w:highlight w:val="none"/>
        </w:rPr>
        <w:t>2家</w:t>
      </w:r>
      <w:r>
        <w:rPr>
          <w:rFonts w:hint="eastAsia" w:ascii="宋体" w:hAnsi="宋体" w:eastAsia="宋体" w:cs="宋体"/>
          <w:color w:val="auto"/>
          <w:highlight w:val="none"/>
          <w:lang w:val="en-US" w:eastAsia="zh-CN"/>
        </w:rPr>
        <w:t>及</w:t>
      </w:r>
      <w:r>
        <w:rPr>
          <w:rFonts w:hint="eastAsia" w:ascii="宋体" w:hAnsi="宋体" w:eastAsia="宋体" w:cs="宋体"/>
          <w:color w:val="auto"/>
          <w:highlight w:val="none"/>
        </w:rPr>
        <w:t>以上的供应商同时委托同一个自然人、同一家庭的人员、同一单位的人员作为其代理人，其投标文件作为无效处理。</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供应商实际控制人或者中高级管理人员，同时是采购代理机构工作人员，不得参与本项目政府采购活动。</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同一母公司的两家以上的子公司只能组成联合体参加本项目同一合同项下的采购活动，不得以不同供应商身份同时参加本项目同一合同项下的采购活动</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供应商与采购代理机构存在关联关系，或者是采购代理机构的母公司或子公司，不得参加本项目政府采购活动。</w:t>
      </w:r>
    </w:p>
    <w:p>
      <w:pPr>
        <w:pStyle w:val="46"/>
        <w:bidi w:val="0"/>
        <w:rPr>
          <w:rFonts w:hint="eastAsia" w:ascii="宋体" w:hAnsi="宋体" w:eastAsia="宋体" w:cs="宋体"/>
          <w:color w:val="auto"/>
          <w:highlight w:val="none"/>
        </w:rPr>
      </w:pPr>
      <w:bookmarkStart w:id="159" w:name="_Toc14125"/>
      <w:bookmarkStart w:id="160" w:name="_Toc27564"/>
      <w:bookmarkStart w:id="161" w:name="_Toc12561"/>
      <w:bookmarkStart w:id="162" w:name="_Toc5076"/>
      <w:r>
        <w:rPr>
          <w:rFonts w:hint="eastAsia" w:ascii="宋体" w:hAnsi="宋体" w:eastAsia="宋体" w:cs="宋体"/>
          <w:color w:val="auto"/>
          <w:highlight w:val="none"/>
        </w:rPr>
        <w:t>招标文件</w:t>
      </w:r>
      <w:bookmarkEnd w:id="152"/>
      <w:bookmarkEnd w:id="153"/>
      <w:bookmarkEnd w:id="154"/>
      <w:bookmarkEnd w:id="155"/>
      <w:bookmarkEnd w:id="156"/>
      <w:bookmarkEnd w:id="157"/>
      <w:bookmarkEnd w:id="158"/>
      <w:bookmarkEnd w:id="159"/>
      <w:bookmarkEnd w:id="160"/>
      <w:bookmarkEnd w:id="161"/>
      <w:bookmarkEnd w:id="162"/>
    </w:p>
    <w:p>
      <w:pPr>
        <w:pStyle w:val="27"/>
        <w:numPr>
          <w:ilvl w:val="2"/>
          <w:numId w:val="11"/>
        </w:numPr>
        <w:bidi w:val="0"/>
        <w:rPr>
          <w:rFonts w:hint="eastAsia" w:ascii="宋体" w:hAnsi="宋体" w:eastAsia="宋体" w:cs="宋体"/>
          <w:color w:val="auto"/>
          <w:highlight w:val="none"/>
        </w:rPr>
      </w:pPr>
      <w:bookmarkStart w:id="163" w:name="_Toc307501092"/>
      <w:bookmarkStart w:id="164" w:name="_Toc29703"/>
      <w:bookmarkStart w:id="165" w:name="_Toc22520"/>
      <w:bookmarkStart w:id="166" w:name="_Toc5983"/>
      <w:bookmarkStart w:id="167" w:name="_Toc327196269"/>
      <w:bookmarkStart w:id="168" w:name="_Toc183582210"/>
      <w:bookmarkStart w:id="169" w:name="_Toc29642"/>
      <w:bookmarkStart w:id="170" w:name="_Toc183682347"/>
      <w:bookmarkStart w:id="171" w:name="_Toc5057"/>
      <w:bookmarkStart w:id="172" w:name="_Toc308084580"/>
      <w:bookmarkStart w:id="173" w:name="_Toc16404"/>
      <w:bookmarkStart w:id="174" w:name="_Toc308188135"/>
      <w:bookmarkStart w:id="175" w:name="_Toc19030"/>
      <w:bookmarkStart w:id="176" w:name="_Toc319440125"/>
      <w:bookmarkStart w:id="177" w:name="_Toc309897498"/>
      <w:bookmarkStart w:id="178" w:name="_Toc21985"/>
      <w:bookmarkStart w:id="179" w:name="_Toc319439883"/>
      <w:bookmarkStart w:id="180" w:name="_Toc24565"/>
      <w:bookmarkStart w:id="181" w:name="_Toc25874"/>
      <w:bookmarkStart w:id="182" w:name="_Toc8808"/>
      <w:bookmarkStart w:id="183" w:name="_Toc25650"/>
      <w:bookmarkStart w:id="184" w:name="_Toc217446039"/>
      <w:bookmarkStart w:id="185" w:name="_Toc307564835"/>
      <w:r>
        <w:rPr>
          <w:rFonts w:hint="eastAsia" w:ascii="宋体" w:hAnsi="宋体" w:eastAsia="宋体" w:cs="宋体"/>
          <w:color w:val="auto"/>
          <w:highlight w:val="none"/>
        </w:rPr>
        <w:t>招标文件的构成</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rPr>
        <w:t>投标邀请；</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rPr>
        <w:t>投标人须知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包括投标文件的密封、签署、盖章要求等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rPr>
        <w:t>投标人应当提交的资格、资信证明文件；</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rPr>
        <w:t>为落实政府采购政策，采购标的需满足的要求，以及投标人须提供的证明材料；</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rPr>
        <w:t>投标文件编制要求、投标报价要求和保证金交纳、退还方式以及不予退还的情形；</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rPr>
        <w:t>采购项目预算金额，设定最高限价的，还应当公开最高限价；</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rPr>
        <w:t>采购项目的技术规格、数量、服务标准、验收等要求，包括附件、图纸</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如涉及</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等；</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rPr>
        <w:t>拟签订的合同文本；</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rPr>
        <w:t>货物、服务提供的时间、地点、方式；</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rPr>
        <w:t>采购资金的支付方式、时间、条件；</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rPr>
        <w:t>评标方法、评标标准和投标无效情形；</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rPr>
        <w:t>投标有效期；</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rPr>
        <w:t>投标截止时间、开标时间及地点；</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rPr>
        <w:t>采购代理机构代理费用的收取标准和方式；</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rPr>
        <w:t>投标人信用信息查询渠道及截止时点、信用信息查询记录和证据留存的具体方式、信用信息的使用规则等；</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rPr>
        <w:t>省级以上财政部门规定的其他事项。</w:t>
      </w:r>
    </w:p>
    <w:p>
      <w:pPr>
        <w:pStyle w:val="28"/>
        <w:numPr>
          <w:ilvl w:val="3"/>
          <w:numId w:val="11"/>
        </w:numPr>
        <w:bidi w:val="0"/>
        <w:rPr>
          <w:rFonts w:hint="eastAsia" w:ascii="宋体" w:hAnsi="宋体" w:eastAsia="宋体" w:cs="宋体"/>
          <w:color w:val="auto"/>
          <w:highlight w:val="none"/>
        </w:rPr>
      </w:pPr>
      <w:r>
        <w:rPr>
          <w:rFonts w:hint="eastAsia" w:ascii="宋体" w:hAnsi="宋体" w:eastAsia="宋体" w:cs="宋体"/>
          <w:color w:val="auto"/>
          <w:highlight w:val="none"/>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27"/>
        <w:bidi w:val="0"/>
        <w:rPr>
          <w:rFonts w:hint="eastAsia" w:ascii="宋体" w:hAnsi="宋体" w:eastAsia="宋体" w:cs="宋体"/>
          <w:color w:val="auto"/>
          <w:highlight w:val="none"/>
        </w:rPr>
      </w:pPr>
      <w:bookmarkStart w:id="186" w:name="_Toc183682348"/>
      <w:bookmarkStart w:id="187" w:name="_Toc183582211"/>
      <w:bookmarkStart w:id="188" w:name="_Toc7541"/>
      <w:bookmarkStart w:id="189" w:name="_Toc11995"/>
      <w:bookmarkStart w:id="190" w:name="_Toc26020"/>
      <w:bookmarkStart w:id="191" w:name="_Toc307501093"/>
      <w:bookmarkStart w:id="192" w:name="_Toc17632"/>
      <w:bookmarkStart w:id="193" w:name="_Toc19612"/>
      <w:bookmarkStart w:id="194" w:name="_Toc309897499"/>
      <w:bookmarkStart w:id="195" w:name="_Toc13600"/>
      <w:bookmarkStart w:id="196" w:name="_Toc319439884"/>
      <w:bookmarkStart w:id="197" w:name="_Toc308084581"/>
      <w:bookmarkStart w:id="198" w:name="_Toc319440126"/>
      <w:bookmarkStart w:id="199" w:name="_Toc22085"/>
      <w:bookmarkStart w:id="200" w:name="_Toc307564836"/>
      <w:bookmarkStart w:id="201" w:name="_Toc29376"/>
      <w:bookmarkStart w:id="202" w:name="_Toc25894"/>
      <w:bookmarkStart w:id="203" w:name="_Toc217446040"/>
      <w:bookmarkStart w:id="204" w:name="_Toc31172"/>
      <w:bookmarkStart w:id="205" w:name="_Toc27690"/>
      <w:bookmarkStart w:id="206" w:name="_Toc16291"/>
      <w:bookmarkStart w:id="207" w:name="_Toc327196270"/>
      <w:bookmarkStart w:id="208" w:name="_Toc308188136"/>
      <w:r>
        <w:rPr>
          <w:rFonts w:hint="eastAsia" w:ascii="宋体" w:hAnsi="宋体" w:eastAsia="宋体" w:cs="宋体"/>
          <w:color w:val="auto"/>
          <w:highlight w:val="none"/>
        </w:rPr>
        <w:t>招标文件的澄清</w:t>
      </w:r>
      <w:bookmarkEnd w:id="186"/>
      <w:bookmarkEnd w:id="187"/>
      <w:r>
        <w:rPr>
          <w:rFonts w:hint="eastAsia" w:ascii="宋体" w:hAnsi="宋体" w:eastAsia="宋体" w:cs="宋体"/>
          <w:color w:val="auto"/>
          <w:highlight w:val="none"/>
        </w:rPr>
        <w:t>和修改</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28"/>
        <w:bidi w:val="0"/>
        <w:rPr>
          <w:rFonts w:hint="eastAsia" w:ascii="宋体" w:hAnsi="宋体" w:eastAsia="宋体" w:cs="宋体"/>
          <w:color w:val="auto"/>
          <w:highlight w:val="none"/>
        </w:rPr>
      </w:pPr>
      <w:bookmarkStart w:id="209" w:name="_Toc319439885"/>
      <w:bookmarkStart w:id="210" w:name="_Toc307501094"/>
      <w:bookmarkStart w:id="211" w:name="_Toc8838"/>
      <w:bookmarkStart w:id="212" w:name="_Toc24226"/>
      <w:bookmarkStart w:id="213" w:name="_Toc3361"/>
      <w:bookmarkStart w:id="214" w:name="_Toc217446041"/>
      <w:bookmarkStart w:id="215" w:name="_Toc6811"/>
      <w:bookmarkStart w:id="216" w:name="_Toc319440127"/>
      <w:bookmarkStart w:id="217" w:name="_Toc307564837"/>
      <w:bookmarkStart w:id="218" w:name="_Toc7026"/>
      <w:bookmarkStart w:id="219" w:name="_Toc308188137"/>
      <w:bookmarkStart w:id="220" w:name="_Toc9735"/>
      <w:bookmarkStart w:id="221" w:name="_Toc2637"/>
      <w:bookmarkStart w:id="222" w:name="_Toc327196271"/>
      <w:bookmarkStart w:id="223" w:name="_Toc22061"/>
      <w:bookmarkStart w:id="224" w:name="_Toc208848971"/>
      <w:bookmarkStart w:id="225" w:name="_Toc309897500"/>
      <w:bookmarkStart w:id="226" w:name="_Toc3159"/>
      <w:bookmarkStart w:id="227" w:name="_Toc308084582"/>
      <w:bookmarkStart w:id="228" w:name="_Toc17111"/>
      <w:r>
        <w:rPr>
          <w:rFonts w:hint="eastAsia" w:ascii="宋体" w:hAnsi="宋体" w:eastAsia="宋体" w:cs="宋体"/>
          <w:color w:val="auto"/>
          <w:highlight w:val="none"/>
        </w:rPr>
        <w:t>在投标截止时间前，招标采购单位无论出于何种原因，可以对招标文件进行澄清或者修改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投标人认为需要对招标文件进行澄清或者修改的，可以以书面形式向招标采购单位提出申请，但招标采购单位可以决定是否采纳投标人的申请事项。</w:t>
      </w:r>
    </w:p>
    <w:p>
      <w:pPr>
        <w:pStyle w:val="28"/>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招标采购单位对已发出的招标文件进行澄清或者修改，澄清或者修改的内容可能影响投标文件编制的，采购人或者采购代理机构应当在投标截止时间至少15日前，以书面形式通知所有获取招标文件的潜在投标人；不足</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日的，采购人或者采购代理机构应当顺延提交投标文件的截止时间</w:t>
      </w:r>
      <w:r>
        <w:rPr>
          <w:rFonts w:hint="eastAsia" w:ascii="宋体" w:hAnsi="宋体" w:eastAsia="宋体" w:cs="宋体"/>
          <w:color w:val="auto"/>
          <w:highlight w:val="none"/>
          <w:lang w:eastAsia="zh-CN"/>
        </w:rPr>
        <w:t>。</w:t>
      </w:r>
    </w:p>
    <w:p>
      <w:pPr>
        <w:pStyle w:val="28"/>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应于投标文件递交截止时间之前在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四川政府采购网</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查询本项目的更正公告，以保证其对招标文件做出</w:t>
      </w:r>
      <w:r>
        <w:rPr>
          <w:rFonts w:hint="eastAsia" w:ascii="宋体" w:hAnsi="宋体" w:eastAsia="宋体" w:cs="宋体"/>
          <w:b/>
          <w:bCs/>
          <w:color w:val="auto"/>
          <w:highlight w:val="none"/>
          <w:lang w:val="en-US" w:eastAsia="zh-CN"/>
        </w:rPr>
        <w:t>准确</w:t>
      </w:r>
      <w:r>
        <w:rPr>
          <w:rFonts w:hint="eastAsia" w:ascii="宋体" w:hAnsi="宋体" w:eastAsia="宋体" w:cs="宋体"/>
          <w:b/>
          <w:bCs/>
          <w:color w:val="auto"/>
          <w:highlight w:val="none"/>
        </w:rPr>
        <w:t>的响应。</w:t>
      </w: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未按要求下载相关文件，或由于未及时关注更正公告的信息造成的后果，其责任由</w:t>
      </w: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自行负责。</w:t>
      </w:r>
    </w:p>
    <w:p>
      <w:pPr>
        <w:pStyle w:val="29"/>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采购代理机构将通过报名系统将</w:t>
      </w:r>
      <w:r>
        <w:rPr>
          <w:rFonts w:hint="eastAsia" w:ascii="宋体" w:hAnsi="宋体" w:eastAsia="宋体" w:cs="宋体"/>
          <w:b/>
          <w:bCs/>
          <w:color w:val="auto"/>
          <w:highlight w:val="none"/>
        </w:rPr>
        <w:t>更正通知发送至所有购买招标文件的供应商，供应商在收到相应更正通知后</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将更正公告打印后加盖单位公章扫描并通过报名系统提交至采购代理机构。</w:t>
      </w:r>
      <w:r>
        <w:rPr>
          <w:rFonts w:hint="eastAsia" w:ascii="宋体" w:hAnsi="宋体" w:eastAsia="宋体" w:cs="宋体"/>
          <w:b/>
          <w:bCs/>
          <w:color w:val="auto"/>
          <w:highlight w:val="none"/>
        </w:rPr>
        <w:t>如供应商未给予书面回复，则视为收到并认可该更正通知的内容</w:t>
      </w:r>
      <w:r>
        <w:rPr>
          <w:rFonts w:hint="eastAsia" w:ascii="宋体" w:hAnsi="宋体" w:eastAsia="宋体" w:cs="宋体"/>
          <w:b/>
          <w:bCs/>
          <w:color w:val="auto"/>
          <w:highlight w:val="none"/>
          <w:lang w:val="en-US" w:eastAsia="zh-CN"/>
        </w:rPr>
        <w:t>。</w:t>
      </w:r>
    </w:p>
    <w:p>
      <w:pPr>
        <w:pStyle w:val="27"/>
        <w:bidi w:val="0"/>
        <w:rPr>
          <w:rFonts w:hint="eastAsia" w:ascii="宋体" w:hAnsi="宋体" w:eastAsia="宋体" w:cs="宋体"/>
          <w:color w:val="auto"/>
          <w:highlight w:val="none"/>
        </w:rPr>
      </w:pPr>
      <w:bookmarkStart w:id="229" w:name="_Toc31570"/>
      <w:bookmarkStart w:id="230" w:name="_Toc28894"/>
      <w:r>
        <w:rPr>
          <w:rFonts w:hint="eastAsia" w:ascii="宋体" w:hAnsi="宋体" w:eastAsia="宋体" w:cs="宋体"/>
          <w:color w:val="auto"/>
          <w:highlight w:val="none"/>
        </w:rPr>
        <w:t>答疑会和现场考察</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28"/>
        <w:bidi w:val="0"/>
        <w:rPr>
          <w:rFonts w:hint="eastAsia" w:ascii="宋体" w:hAnsi="宋体" w:eastAsia="宋体" w:cs="宋体"/>
          <w:color w:val="auto"/>
          <w:highlight w:val="none"/>
        </w:rPr>
      </w:pPr>
      <w:bookmarkStart w:id="231" w:name="_Toc20199"/>
      <w:bookmarkStart w:id="232" w:name="_Toc77400780"/>
      <w:bookmarkStart w:id="233" w:name="_Toc327196272"/>
      <w:bookmarkStart w:id="234" w:name="_Toc217446042"/>
      <w:bookmarkStart w:id="235" w:name="_Toc89075876"/>
      <w:bookmarkStart w:id="236" w:name="_Toc183582214"/>
      <w:bookmarkStart w:id="237" w:name="_Toc183682351"/>
      <w:r>
        <w:rPr>
          <w:rFonts w:hint="eastAsia" w:ascii="宋体" w:hAnsi="宋体" w:eastAsia="宋体" w:cs="宋体"/>
          <w:color w:val="auto"/>
          <w:highlight w:val="none"/>
        </w:rPr>
        <w:t>采购人、采购代理机构可以视采购项目的具体情况，组织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进行现场考察或</w:t>
      </w:r>
      <w:r>
        <w:rPr>
          <w:rFonts w:hint="eastAsia" w:ascii="宋体" w:hAnsi="宋体" w:eastAsia="宋体" w:cs="宋体"/>
          <w:color w:val="auto"/>
          <w:highlight w:val="none"/>
          <w:lang w:eastAsia="zh-CN"/>
        </w:rPr>
        <w:t>开标</w:t>
      </w:r>
      <w:r>
        <w:rPr>
          <w:rFonts w:hint="eastAsia" w:ascii="宋体" w:hAnsi="宋体" w:eastAsia="宋体" w:cs="宋体"/>
          <w:color w:val="auto"/>
          <w:highlight w:val="none"/>
        </w:rPr>
        <w:t>前答疑会，但不得单独或分别组织只有一个</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参加的现场考察和答疑会。若组织答疑会和现场考察以采购代理机构通知为准。</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考察现场所发生的一切费用由</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lang w:val="en-US" w:eastAsia="zh-CN"/>
        </w:rPr>
        <w:t>自行</w:t>
      </w:r>
      <w:r>
        <w:rPr>
          <w:rFonts w:hint="eastAsia" w:ascii="宋体" w:hAnsi="宋体" w:eastAsia="宋体" w:cs="宋体"/>
          <w:color w:val="auto"/>
          <w:highlight w:val="none"/>
        </w:rPr>
        <w:t>承担。</w:t>
      </w:r>
    </w:p>
    <w:p>
      <w:pPr>
        <w:pStyle w:val="46"/>
        <w:bidi w:val="0"/>
        <w:rPr>
          <w:rFonts w:hint="eastAsia" w:ascii="宋体" w:hAnsi="宋体" w:eastAsia="宋体" w:cs="宋体"/>
          <w:color w:val="auto"/>
          <w:highlight w:val="none"/>
        </w:rPr>
      </w:pPr>
      <w:bookmarkStart w:id="238" w:name="_Toc27479"/>
      <w:bookmarkStart w:id="239" w:name="_Toc16099"/>
      <w:bookmarkStart w:id="240" w:name="_Toc16131"/>
      <w:bookmarkStart w:id="241" w:name="_Toc615"/>
      <w:r>
        <w:rPr>
          <w:rFonts w:hint="eastAsia" w:ascii="宋体" w:hAnsi="宋体" w:eastAsia="宋体" w:cs="宋体"/>
          <w:color w:val="auto"/>
          <w:highlight w:val="none"/>
        </w:rPr>
        <w:t>投标文件</w:t>
      </w:r>
      <w:bookmarkEnd w:id="231"/>
      <w:bookmarkEnd w:id="232"/>
      <w:bookmarkEnd w:id="233"/>
      <w:bookmarkEnd w:id="234"/>
      <w:bookmarkEnd w:id="235"/>
      <w:bookmarkEnd w:id="236"/>
      <w:bookmarkEnd w:id="237"/>
      <w:bookmarkEnd w:id="238"/>
      <w:bookmarkEnd w:id="239"/>
      <w:bookmarkEnd w:id="240"/>
      <w:bookmarkEnd w:id="241"/>
    </w:p>
    <w:p>
      <w:pPr>
        <w:pStyle w:val="27"/>
        <w:numPr>
          <w:ilvl w:val="2"/>
          <w:numId w:val="12"/>
        </w:numPr>
        <w:bidi w:val="0"/>
        <w:rPr>
          <w:rFonts w:hint="eastAsia" w:ascii="宋体" w:hAnsi="宋体" w:eastAsia="宋体" w:cs="宋体"/>
          <w:color w:val="auto"/>
          <w:highlight w:val="none"/>
        </w:rPr>
      </w:pPr>
      <w:bookmarkStart w:id="242" w:name="_Toc327196273"/>
      <w:bookmarkStart w:id="243" w:name="_Toc308084584"/>
      <w:bookmarkStart w:id="244" w:name="_Toc319439887"/>
      <w:bookmarkStart w:id="245" w:name="_Toc27053"/>
      <w:bookmarkStart w:id="246" w:name="_Toc217446043"/>
      <w:bookmarkStart w:id="247" w:name="_Toc308188139"/>
      <w:bookmarkStart w:id="248" w:name="_Toc2601"/>
      <w:bookmarkStart w:id="249" w:name="_Toc26076"/>
      <w:bookmarkStart w:id="250" w:name="_Toc183682352"/>
      <w:bookmarkStart w:id="251" w:name="_Toc319440129"/>
      <w:bookmarkStart w:id="252" w:name="_Toc1641"/>
      <w:bookmarkStart w:id="253" w:name="_Toc23564"/>
      <w:bookmarkStart w:id="254" w:name="_Toc3041"/>
      <w:bookmarkStart w:id="255" w:name="_Toc307564839"/>
      <w:bookmarkStart w:id="256" w:name="_Toc21169"/>
      <w:bookmarkStart w:id="257" w:name="_Toc183582215"/>
      <w:bookmarkStart w:id="258" w:name="_Toc309897502"/>
      <w:bookmarkStart w:id="259" w:name="_Toc307501096"/>
      <w:bookmarkStart w:id="260" w:name="_Toc29330"/>
      <w:bookmarkStart w:id="261" w:name="_Toc11217"/>
      <w:bookmarkStart w:id="262" w:name="_Toc14178"/>
      <w:bookmarkStart w:id="263" w:name="_Toc28324"/>
      <w:bookmarkStart w:id="264" w:name="_Toc8388"/>
      <w:r>
        <w:rPr>
          <w:rFonts w:hint="eastAsia" w:ascii="宋体" w:hAnsi="宋体" w:eastAsia="宋体" w:cs="宋体"/>
          <w:color w:val="auto"/>
          <w:highlight w:val="none"/>
        </w:rPr>
        <w:t>投标文件的语言</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ascii="宋体" w:hAnsi="宋体" w:eastAsia="宋体" w:cs="宋体"/>
          <w:color w:val="auto"/>
          <w:highlight w:val="none"/>
          <w:lang w:val="en-US" w:eastAsia="zh-CN"/>
        </w:rPr>
        <w:t>(实质性要求)</w:t>
      </w:r>
      <w:bookmarkEnd w:id="261"/>
      <w:bookmarkEnd w:id="262"/>
      <w:bookmarkEnd w:id="263"/>
      <w:bookmarkEnd w:id="264"/>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w:t>
      </w:r>
      <w:r>
        <w:rPr>
          <w:rFonts w:hint="eastAsia" w:ascii="宋体" w:hAnsi="宋体" w:eastAsia="宋体" w:cs="宋体"/>
          <w:color w:val="auto"/>
          <w:highlight w:val="none"/>
          <w:lang w:val="en-US" w:eastAsia="zh-CN"/>
        </w:rPr>
        <w:t>供应商的法定代表人为外籍人士的，法定代表人的签字和护照、</w:t>
      </w:r>
      <w:r>
        <w:rPr>
          <w:rFonts w:hint="eastAsia" w:ascii="宋体" w:hAnsi="宋体" w:eastAsia="宋体" w:cs="宋体"/>
          <w:color w:val="auto"/>
          <w:highlight w:val="none"/>
        </w:rPr>
        <w:t>行业标准、国家标准、国际标准或行业认证等需要以非中文表述且不宜翻译为中文的除外。</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翻译的中文资料与外文资料如果出现差异和矛盾时，以中文为准。但不能故意错误翻译，否则，投标人的投标文件将作为无效投标处理。</w:t>
      </w:r>
    </w:p>
    <w:p>
      <w:pPr>
        <w:pStyle w:val="27"/>
        <w:bidi w:val="0"/>
        <w:rPr>
          <w:rFonts w:hint="eastAsia" w:ascii="宋体" w:hAnsi="宋体" w:eastAsia="宋体" w:cs="宋体"/>
          <w:color w:val="auto"/>
          <w:highlight w:val="none"/>
        </w:rPr>
      </w:pPr>
      <w:bookmarkStart w:id="265" w:name="_Toc319439888"/>
      <w:bookmarkStart w:id="266" w:name="_Toc15226"/>
      <w:bookmarkStart w:id="267" w:name="_Toc2379"/>
      <w:bookmarkStart w:id="268" w:name="_Toc20188"/>
      <w:bookmarkStart w:id="269" w:name="_Toc11901"/>
      <w:bookmarkStart w:id="270" w:name="_Toc308188140"/>
      <w:bookmarkStart w:id="271" w:name="_Toc20091"/>
      <w:bookmarkStart w:id="272" w:name="_Toc217446044"/>
      <w:bookmarkStart w:id="273" w:name="_Toc327196274"/>
      <w:bookmarkStart w:id="274" w:name="_Toc307501097"/>
      <w:bookmarkStart w:id="275" w:name="_Toc183682353"/>
      <w:bookmarkStart w:id="276" w:name="_Toc319440130"/>
      <w:bookmarkStart w:id="277" w:name="_Toc309897503"/>
      <w:bookmarkStart w:id="278" w:name="_Toc183582216"/>
      <w:bookmarkStart w:id="279" w:name="_Toc308084585"/>
      <w:bookmarkStart w:id="280" w:name="_Toc307564840"/>
      <w:bookmarkStart w:id="281" w:name="_Toc12195"/>
      <w:bookmarkStart w:id="282" w:name="_Toc17444"/>
      <w:bookmarkStart w:id="283" w:name="_Toc15145"/>
      <w:bookmarkStart w:id="284" w:name="_Toc18700"/>
      <w:bookmarkStart w:id="285" w:name="_Toc5846"/>
      <w:bookmarkStart w:id="286" w:name="_Toc10594"/>
      <w:bookmarkStart w:id="287" w:name="_Toc12658"/>
      <w:r>
        <w:rPr>
          <w:rFonts w:hint="eastAsia" w:ascii="宋体" w:hAnsi="宋体" w:eastAsia="宋体" w:cs="宋体"/>
          <w:color w:val="auto"/>
          <w:highlight w:val="none"/>
        </w:rPr>
        <w:t>计量单位</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ascii="宋体" w:hAnsi="宋体" w:eastAsia="宋体" w:cs="宋体"/>
          <w:color w:val="auto"/>
          <w:highlight w:val="none"/>
          <w:lang w:val="en-US" w:eastAsia="zh-CN"/>
        </w:rPr>
        <w:t>(实质性要求)</w:t>
      </w:r>
      <w:bookmarkEnd w:id="284"/>
      <w:bookmarkEnd w:id="285"/>
      <w:bookmarkEnd w:id="286"/>
      <w:bookmarkEnd w:id="287"/>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除技术规格及要求中另有规定外，本采购项下的投标均采用国家法定的计量单位。</w:t>
      </w:r>
    </w:p>
    <w:p>
      <w:pPr>
        <w:pStyle w:val="27"/>
        <w:bidi w:val="0"/>
        <w:rPr>
          <w:rFonts w:hint="eastAsia" w:ascii="宋体" w:hAnsi="宋体" w:eastAsia="宋体" w:cs="宋体"/>
          <w:color w:val="auto"/>
          <w:highlight w:val="none"/>
          <w:lang w:eastAsia="zh-CN"/>
        </w:rPr>
      </w:pPr>
      <w:bookmarkStart w:id="288" w:name="_Toc32667"/>
      <w:bookmarkStart w:id="289" w:name="_Toc15074"/>
      <w:bookmarkStart w:id="290" w:name="_Toc25266"/>
      <w:bookmarkStart w:id="291" w:name="_Toc319440132"/>
      <w:bookmarkStart w:id="292" w:name="_Toc319439890"/>
      <w:bookmarkStart w:id="293" w:name="_Toc21797"/>
      <w:bookmarkStart w:id="294" w:name="_Toc24432"/>
      <w:bookmarkStart w:id="295" w:name="_Toc21894"/>
      <w:bookmarkStart w:id="296" w:name="_Toc25923"/>
      <w:bookmarkStart w:id="297" w:name="_Toc307501099"/>
      <w:bookmarkStart w:id="298" w:name="_Toc308084587"/>
      <w:bookmarkStart w:id="299" w:name="_Toc16409"/>
      <w:bookmarkStart w:id="300" w:name="_Toc32108"/>
      <w:bookmarkStart w:id="301" w:name="_Toc308188142"/>
      <w:bookmarkStart w:id="302" w:name="_Toc309897505"/>
      <w:bookmarkStart w:id="303" w:name="_Toc327196276"/>
      <w:bookmarkStart w:id="304" w:name="_Toc7935"/>
      <w:bookmarkStart w:id="305" w:name="_Toc4336"/>
      <w:bookmarkStart w:id="306" w:name="_Toc8550"/>
      <w:bookmarkStart w:id="307" w:name="_Toc217446046"/>
      <w:bookmarkStart w:id="308" w:name="_Toc307564842"/>
      <w:bookmarkStart w:id="309" w:name="_Toc9946"/>
      <w:bookmarkStart w:id="310" w:name="_Toc307564843"/>
      <w:bookmarkStart w:id="311" w:name="_Toc307501100"/>
      <w:bookmarkStart w:id="312" w:name="_Toc3781"/>
      <w:bookmarkStart w:id="313" w:name="_Toc319439891"/>
      <w:bookmarkStart w:id="314" w:name="_Toc308188143"/>
      <w:bookmarkStart w:id="315" w:name="_Toc2050"/>
      <w:bookmarkStart w:id="316" w:name="_Toc13754"/>
      <w:bookmarkStart w:id="317" w:name="_Toc27877"/>
      <w:bookmarkStart w:id="318" w:name="_Toc10974"/>
      <w:bookmarkStart w:id="319" w:name="_Toc217446047"/>
      <w:bookmarkStart w:id="320" w:name="_Toc30958"/>
      <w:bookmarkStart w:id="321" w:name="_Toc309897506"/>
      <w:bookmarkStart w:id="322" w:name="_Toc7819"/>
      <w:bookmarkStart w:id="323" w:name="_Toc18912"/>
      <w:bookmarkStart w:id="324" w:name="_Toc308084588"/>
      <w:bookmarkStart w:id="325" w:name="_Toc327196277"/>
      <w:bookmarkStart w:id="326" w:name="_Toc319440133"/>
      <w:bookmarkStart w:id="327" w:name="_Toc9626"/>
      <w:bookmarkStart w:id="328" w:name="_Toc15468"/>
      <w:r>
        <w:rPr>
          <w:rFonts w:hint="eastAsia" w:ascii="宋体" w:hAnsi="宋体" w:eastAsia="宋体" w:cs="宋体"/>
          <w:color w:val="auto"/>
          <w:highlight w:val="none"/>
        </w:rPr>
        <w:t>联合体投标</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rFonts w:hint="eastAsia" w:ascii="宋体" w:hAnsi="宋体" w:eastAsia="宋体" w:cs="宋体"/>
          <w:color w:val="auto"/>
          <w:highlight w:val="none"/>
          <w:lang w:val="en-US" w:eastAsia="zh-CN"/>
        </w:rPr>
        <w:t>(实质性要求)</w:t>
      </w:r>
      <w:bookmarkEnd w:id="309"/>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color w:val="auto"/>
          <w:highlight w:val="none"/>
          <w:lang w:val="en-US" w:eastAsia="zh-CN"/>
        </w:rPr>
      </w:pPr>
      <w:bookmarkStart w:id="329" w:name="_Toc30421"/>
      <w:r>
        <w:rPr>
          <w:rFonts w:hint="eastAsia" w:ascii="宋体" w:hAnsi="宋体" w:eastAsia="宋体" w:cs="宋体"/>
          <w:color w:val="auto"/>
          <w:highlight w:val="none"/>
          <w:lang w:val="en-US" w:eastAsia="zh-CN"/>
        </w:rPr>
        <w:t>本项目不接受联合体投标。</w:t>
      </w:r>
    </w:p>
    <w:p>
      <w:pPr>
        <w:pStyle w:val="27"/>
        <w:bidi w:val="0"/>
        <w:rPr>
          <w:rFonts w:hint="eastAsia" w:ascii="宋体" w:hAnsi="宋体" w:eastAsia="宋体" w:cs="宋体"/>
          <w:color w:val="auto"/>
          <w:highlight w:val="none"/>
        </w:rPr>
      </w:pPr>
      <w:bookmarkStart w:id="330" w:name="_Toc6500"/>
      <w:r>
        <w:rPr>
          <w:rFonts w:hint="eastAsia" w:ascii="宋体" w:hAnsi="宋体" w:eastAsia="宋体" w:cs="宋体"/>
          <w:color w:val="auto"/>
          <w:highlight w:val="none"/>
        </w:rPr>
        <w:t>知识产权</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Pr>
          <w:rFonts w:hint="eastAsia" w:ascii="宋体" w:hAnsi="宋体" w:eastAsia="宋体" w:cs="宋体"/>
          <w:color w:val="auto"/>
          <w:highlight w:val="none"/>
          <w:lang w:val="en-US" w:eastAsia="zh-CN"/>
        </w:rPr>
        <w:t>(实质性要求)</w:t>
      </w:r>
      <w:bookmarkEnd w:id="327"/>
      <w:bookmarkEnd w:id="328"/>
      <w:bookmarkEnd w:id="329"/>
      <w:bookmarkEnd w:id="330"/>
    </w:p>
    <w:p>
      <w:pPr>
        <w:pStyle w:val="28"/>
        <w:bidi w:val="0"/>
        <w:rPr>
          <w:rFonts w:hint="eastAsia" w:ascii="宋体" w:hAnsi="宋体" w:eastAsia="宋体" w:cs="宋体"/>
          <w:color w:val="auto"/>
          <w:highlight w:val="none"/>
        </w:rPr>
      </w:pPr>
      <w:bookmarkStart w:id="331" w:name="_Toc8432"/>
      <w:bookmarkStart w:id="332" w:name="_Toc308188144"/>
      <w:bookmarkStart w:id="333" w:name="_Toc7660"/>
      <w:bookmarkStart w:id="334" w:name="_Toc6143"/>
      <w:bookmarkStart w:id="335" w:name="_Toc183682354"/>
      <w:bookmarkStart w:id="336" w:name="_Toc2706"/>
      <w:bookmarkStart w:id="337" w:name="_Toc1140"/>
      <w:bookmarkStart w:id="338" w:name="_Toc5369"/>
      <w:bookmarkStart w:id="339" w:name="_Toc319440134"/>
      <w:bookmarkStart w:id="340" w:name="_Toc16281"/>
      <w:bookmarkStart w:id="341" w:name="_Toc11856"/>
      <w:bookmarkStart w:id="342" w:name="_Toc319439892"/>
      <w:bookmarkStart w:id="343" w:name="_Toc307501101"/>
      <w:bookmarkStart w:id="344" w:name="_Toc307564844"/>
      <w:bookmarkStart w:id="345" w:name="_Toc309897507"/>
      <w:bookmarkStart w:id="346" w:name="_Toc217446048"/>
      <w:bookmarkStart w:id="347" w:name="_Toc183582217"/>
      <w:bookmarkStart w:id="348" w:name="_Toc30708"/>
      <w:bookmarkStart w:id="349" w:name="_Toc10817"/>
      <w:bookmarkStart w:id="350" w:name="_Toc327196278"/>
      <w:bookmarkStart w:id="351" w:name="_Toc308084589"/>
      <w:r>
        <w:rPr>
          <w:rFonts w:hint="eastAsia" w:ascii="宋体" w:hAnsi="宋体" w:eastAsia="宋体" w:cs="宋体"/>
          <w:color w:val="auto"/>
          <w:highlight w:val="none"/>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采购人享有本项目实施过程中产生的知识成果及知识产权。</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投标人如欲在项目实施过程中采用自有知识成果，需在投标文件中声明，并提供相关知识产权证明文件。使用该知识成果后，投标人需提供</w:t>
      </w:r>
      <w:r>
        <w:rPr>
          <w:rFonts w:hint="eastAsia" w:ascii="宋体" w:hAnsi="宋体" w:eastAsia="宋体" w:cs="宋体"/>
          <w:color w:val="auto"/>
          <w:highlight w:val="none"/>
          <w:lang w:val="en-US" w:eastAsia="zh-CN"/>
        </w:rPr>
        <w:t>相关</w:t>
      </w:r>
      <w:r>
        <w:rPr>
          <w:rFonts w:hint="eastAsia" w:ascii="宋体" w:hAnsi="宋体" w:eastAsia="宋体" w:cs="宋体"/>
          <w:color w:val="auto"/>
          <w:highlight w:val="none"/>
        </w:rPr>
        <w:t>技术文档，并承诺提供无限期技术支持，采购人享有永久使用权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同时需在投标文件中提供声明，并提供相关知识产权证明文件，否则视为投标人未在本项目实施过程中采用自有知识成果，不影响有效性。</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如采用投标人所不拥有的知识产权，则在投标报价中必须包括合法获取该知识产权的相关费用。 </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如采购项目涉及知识产权时按照此条要求执行</w:t>
      </w:r>
      <w:r>
        <w:rPr>
          <w:rFonts w:hint="eastAsia" w:ascii="宋体" w:hAnsi="宋体" w:eastAsia="宋体" w:cs="宋体"/>
          <w:color w:val="auto"/>
          <w:highlight w:val="none"/>
          <w:lang w:val="en-US" w:eastAsia="zh-CN"/>
        </w:rPr>
        <w:t>，并在评审时作实质性审查。</w:t>
      </w:r>
    </w:p>
    <w:p>
      <w:pPr>
        <w:pStyle w:val="27"/>
        <w:bidi w:val="0"/>
        <w:rPr>
          <w:rFonts w:hint="eastAsia" w:ascii="宋体" w:hAnsi="宋体" w:eastAsia="宋体" w:cs="宋体"/>
          <w:color w:val="auto"/>
          <w:highlight w:val="none"/>
        </w:rPr>
      </w:pPr>
      <w:bookmarkStart w:id="352" w:name="_Toc28370"/>
      <w:bookmarkStart w:id="353" w:name="_Toc57"/>
      <w:r>
        <w:rPr>
          <w:rFonts w:hint="eastAsia" w:ascii="宋体" w:hAnsi="宋体" w:eastAsia="宋体" w:cs="宋体"/>
          <w:color w:val="auto"/>
          <w:highlight w:val="none"/>
        </w:rPr>
        <w:t>投标文件的组成</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pStyle w:val="29"/>
        <w:bidi w:val="0"/>
        <w:rPr>
          <w:rFonts w:hint="eastAsia" w:ascii="宋体" w:hAnsi="宋体" w:eastAsia="宋体" w:cs="宋体"/>
          <w:color w:val="auto"/>
          <w:highlight w:val="none"/>
        </w:rPr>
      </w:pPr>
      <w:bookmarkStart w:id="354" w:name="_Toc217446049"/>
      <w:bookmarkStart w:id="355" w:name="_Toc183682355"/>
      <w:bookmarkStart w:id="356" w:name="_Toc307501102"/>
      <w:bookmarkStart w:id="357" w:name="_Toc183582218"/>
      <w:r>
        <w:rPr>
          <w:rFonts w:hint="eastAsia" w:ascii="宋体" w:hAnsi="宋体" w:eastAsia="宋体" w:cs="宋体"/>
          <w:color w:val="auto"/>
          <w:highlight w:val="none"/>
        </w:rPr>
        <w:t>投标人应按照招标文件的规定和要求编制投标文件，否则视为无效投标。投标人拟在中标后将中标项目的非主体、非关键性工作交由他人完成的，应当在投标文件中载明。投标人编写的投标文件应包括</w:t>
      </w:r>
      <w:r>
        <w:rPr>
          <w:rFonts w:hint="eastAsia" w:ascii="宋体" w:hAnsi="宋体" w:eastAsia="宋体" w:cs="宋体"/>
          <w:color w:val="auto"/>
          <w:highlight w:val="none"/>
          <w:lang w:val="en-US" w:eastAsia="zh-CN"/>
        </w:rPr>
        <w:t>以下两</w:t>
      </w:r>
      <w:r>
        <w:rPr>
          <w:rFonts w:hint="eastAsia" w:ascii="宋体" w:hAnsi="宋体" w:eastAsia="宋体" w:cs="宋体"/>
          <w:color w:val="auto"/>
          <w:highlight w:val="none"/>
        </w:rPr>
        <w:t>部分：</w:t>
      </w:r>
    </w:p>
    <w:p>
      <w:pPr>
        <w:pStyle w:val="28"/>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第一部分：资格、资质性及其他类似效力投标文件(用于资格审查)</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按照招标文件第四、五章要求提供相关资格、资质性及其他类似效力要求的相关证明材料。</w:t>
      </w:r>
    </w:p>
    <w:p>
      <w:pPr>
        <w:pStyle w:val="28"/>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第二部分</w:t>
      </w:r>
      <w:r>
        <w:rPr>
          <w:rFonts w:hint="eastAsia" w:ascii="宋体" w:hAnsi="宋体" w:eastAsia="宋体" w:cs="宋体"/>
          <w:color w:val="auto"/>
          <w:highlight w:val="none"/>
        </w:rPr>
        <w:t>：其它投标文件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用于资格审查以外的评标</w:t>
      </w:r>
      <w:r>
        <w:rPr>
          <w:rFonts w:hint="eastAsia" w:ascii="宋体" w:hAnsi="宋体" w:eastAsia="宋体" w:cs="宋体"/>
          <w:color w:val="auto"/>
          <w:highlight w:val="none"/>
          <w:lang w:eastAsia="zh-CN"/>
        </w:rPr>
        <w:t>)</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按照招标文件要求提供以下相关材料：</w:t>
      </w:r>
    </w:p>
    <w:p>
      <w:pPr>
        <w:pStyle w:val="30"/>
        <w:bidi w:val="0"/>
        <w:rPr>
          <w:rFonts w:hint="eastAsia" w:ascii="宋体" w:hAnsi="宋体" w:eastAsia="宋体" w:cs="宋体"/>
          <w:b/>
          <w:bCs/>
          <w:color w:val="auto"/>
          <w:highlight w:val="none"/>
        </w:rPr>
      </w:pPr>
      <w:r>
        <w:rPr>
          <w:rFonts w:hint="eastAsia" w:ascii="宋体" w:hAnsi="宋体" w:eastAsia="宋体" w:cs="宋体"/>
          <w:b/>
          <w:bCs/>
          <w:color w:val="auto"/>
          <w:highlight w:val="none"/>
        </w:rPr>
        <w:t>报价部分</w:t>
      </w:r>
      <w:r>
        <w:rPr>
          <w:rFonts w:hint="eastAsia" w:ascii="宋体" w:hAnsi="宋体" w:eastAsia="宋体" w:cs="宋体"/>
          <w:b/>
          <w:bCs/>
          <w:color w:val="auto"/>
          <w:highlight w:val="none"/>
          <w:lang w:val="zh-CN"/>
        </w:rPr>
        <w:t>(实质性要求)</w:t>
      </w:r>
    </w:p>
    <w:p>
      <w:pPr>
        <w:pStyle w:val="40"/>
        <w:numPr>
          <w:ilvl w:val="3"/>
          <w:numId w:val="0"/>
        </w:numPr>
        <w:bidi w:val="0"/>
        <w:ind w:leftChars="200"/>
        <w:rPr>
          <w:rFonts w:hint="eastAsia" w:ascii="宋体" w:hAnsi="宋体" w:eastAsia="宋体" w:cs="宋体"/>
          <w:color w:val="auto"/>
          <w:highlight w:val="none"/>
        </w:rPr>
      </w:pPr>
      <w:r>
        <w:rPr>
          <w:rFonts w:hint="eastAsia" w:ascii="宋体" w:hAnsi="宋体" w:eastAsia="宋体" w:cs="宋体"/>
          <w:color w:val="auto"/>
          <w:highlight w:val="none"/>
        </w:rPr>
        <w:t>投标人按照以下要求填写的“开标一览表”。本次招标报价要求：</w:t>
      </w:r>
    </w:p>
    <w:p>
      <w:pPr>
        <w:pStyle w:val="31"/>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本次项目</w:t>
      </w:r>
      <w:r>
        <w:rPr>
          <w:rFonts w:hint="eastAsia" w:ascii="宋体" w:hAnsi="宋体" w:eastAsia="宋体" w:cs="宋体"/>
          <w:color w:val="auto"/>
          <w:highlight w:val="none"/>
          <w:lang w:val="en-US" w:eastAsia="zh-CN"/>
        </w:rPr>
        <w:t>在图书</w:t>
      </w:r>
      <w:r>
        <w:rPr>
          <w:rFonts w:hint="eastAsia" w:ascii="宋体" w:hAnsi="宋体" w:eastAsia="宋体" w:cs="宋体"/>
          <w:color w:val="auto"/>
          <w:highlight w:val="none"/>
          <w:lang w:eastAsia="zh-CN"/>
        </w:rPr>
        <w:t>码洋</w:t>
      </w:r>
      <w:r>
        <w:rPr>
          <w:rFonts w:hint="eastAsia" w:ascii="宋体" w:hAnsi="宋体" w:eastAsia="宋体" w:cs="宋体"/>
          <w:color w:val="auto"/>
          <w:highlight w:val="none"/>
          <w:lang w:val="en-US" w:eastAsia="zh-CN"/>
        </w:rPr>
        <w:t>的基础上</w:t>
      </w:r>
      <w:r>
        <w:rPr>
          <w:rFonts w:hint="eastAsia" w:ascii="宋体" w:hAnsi="宋体" w:eastAsia="宋体" w:cs="宋体"/>
          <w:color w:val="auto"/>
          <w:highlight w:val="none"/>
        </w:rPr>
        <w:t>进行</w:t>
      </w:r>
      <w:r>
        <w:rPr>
          <w:rFonts w:hint="eastAsia" w:ascii="宋体" w:hAnsi="宋体" w:eastAsia="宋体" w:cs="宋体"/>
          <w:color w:val="auto"/>
          <w:highlight w:val="none"/>
          <w:lang w:eastAsia="zh-CN"/>
        </w:rPr>
        <w:t>下浮率</w:t>
      </w:r>
      <w:r>
        <w:rPr>
          <w:rFonts w:hint="eastAsia" w:ascii="宋体" w:hAnsi="宋体" w:eastAsia="宋体" w:cs="宋体"/>
          <w:color w:val="auto"/>
          <w:highlight w:val="none"/>
        </w:rPr>
        <w:t>报价，</w:t>
      </w:r>
      <w:r>
        <w:rPr>
          <w:rFonts w:hint="eastAsia" w:ascii="宋体" w:hAnsi="宋体" w:eastAsia="宋体" w:cs="宋体"/>
          <w:color w:val="auto"/>
          <w:highlight w:val="none"/>
          <w:lang w:eastAsia="zh-CN"/>
        </w:rPr>
        <w:t>下浮率</w:t>
      </w:r>
      <w:r>
        <w:rPr>
          <w:rFonts w:hint="eastAsia" w:ascii="宋体" w:hAnsi="宋体" w:eastAsia="宋体" w:cs="宋体"/>
          <w:color w:val="auto"/>
          <w:highlight w:val="none"/>
        </w:rPr>
        <w:t>以百分比表示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例：一本书定价</w:t>
      </w:r>
      <w:r>
        <w:rPr>
          <w:rFonts w:hint="eastAsia" w:ascii="宋体" w:hAnsi="宋体" w:eastAsia="宋体" w:cs="宋体"/>
          <w:color w:val="auto"/>
          <w:highlight w:val="none"/>
          <w:lang w:eastAsia="zh-CN"/>
        </w:rPr>
        <w:t>(码洋)</w:t>
      </w:r>
      <w:r>
        <w:rPr>
          <w:rFonts w:hint="eastAsia" w:ascii="宋体" w:hAnsi="宋体" w:eastAsia="宋体" w:cs="宋体"/>
          <w:color w:val="auto"/>
          <w:highlight w:val="none"/>
        </w:rPr>
        <w:t>为10元，投标报价</w:t>
      </w:r>
      <w:r>
        <w:rPr>
          <w:rFonts w:hint="eastAsia" w:ascii="宋体" w:hAnsi="宋体" w:eastAsia="宋体" w:cs="宋体"/>
          <w:color w:val="auto"/>
          <w:highlight w:val="none"/>
          <w:lang w:val="en-US" w:eastAsia="zh-CN"/>
        </w:rPr>
        <w:t>(下浮率)为2</w:t>
      </w:r>
      <w:r>
        <w:rPr>
          <w:rFonts w:hint="eastAsia" w:ascii="宋体" w:hAnsi="宋体" w:eastAsia="宋体" w:cs="宋体"/>
          <w:color w:val="auto"/>
          <w:highlight w:val="none"/>
        </w:rPr>
        <w:t>0%，本书</w:t>
      </w:r>
      <w:r>
        <w:rPr>
          <w:rFonts w:hint="eastAsia" w:ascii="宋体" w:hAnsi="宋体" w:eastAsia="宋体" w:cs="宋体"/>
          <w:color w:val="auto"/>
          <w:highlight w:val="none"/>
          <w:lang w:eastAsia="zh-CN"/>
        </w:rPr>
        <w:t>实洋(</w:t>
      </w:r>
      <w:r>
        <w:rPr>
          <w:rFonts w:hint="eastAsia" w:ascii="宋体" w:hAnsi="宋体" w:eastAsia="宋体" w:cs="宋体"/>
          <w:color w:val="auto"/>
          <w:highlight w:val="none"/>
        </w:rPr>
        <w:t>结算价格</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为8元。</w:t>
      </w:r>
    </w:p>
    <w:p>
      <w:pPr>
        <w:pStyle w:val="31"/>
        <w:bidi w:val="0"/>
        <w:rPr>
          <w:rFonts w:hint="eastAsia" w:ascii="宋体" w:hAnsi="宋体" w:eastAsia="宋体" w:cs="宋体"/>
          <w:color w:val="auto"/>
          <w:highlight w:val="none"/>
        </w:rPr>
      </w:pPr>
      <w:r>
        <w:rPr>
          <w:rFonts w:hint="eastAsia" w:ascii="宋体" w:hAnsi="宋体" w:eastAsia="宋体" w:cs="宋体"/>
          <w:color w:val="auto"/>
          <w:highlight w:val="none"/>
        </w:rPr>
        <w:t>本项目投标报价</w:t>
      </w:r>
      <w:r>
        <w:rPr>
          <w:rFonts w:hint="eastAsia" w:ascii="宋体" w:hAnsi="宋体" w:eastAsia="宋体" w:cs="宋体"/>
          <w:color w:val="auto"/>
          <w:highlight w:val="none"/>
          <w:lang w:val="en-US" w:eastAsia="zh-CN"/>
        </w:rPr>
        <w:t>(1-下浮率)</w:t>
      </w:r>
      <w:r>
        <w:rPr>
          <w:rFonts w:hint="eastAsia" w:ascii="宋体" w:hAnsi="宋体" w:eastAsia="宋体" w:cs="宋体"/>
          <w:color w:val="auto"/>
          <w:highlight w:val="none"/>
        </w:rPr>
        <w:t>不得</w:t>
      </w:r>
      <w:r>
        <w:rPr>
          <w:rFonts w:hint="eastAsia" w:ascii="宋体" w:hAnsi="宋体" w:eastAsia="宋体" w:cs="宋体"/>
          <w:color w:val="auto"/>
          <w:highlight w:val="none"/>
          <w:lang w:val="en-US" w:eastAsia="zh-CN"/>
        </w:rPr>
        <w:t>高于85</w:t>
      </w:r>
      <w:r>
        <w:rPr>
          <w:rFonts w:hint="eastAsia" w:ascii="宋体" w:hAnsi="宋体" w:eastAsia="宋体" w:cs="宋体"/>
          <w:color w:val="auto"/>
          <w:highlight w:val="none"/>
        </w:rPr>
        <w:t>%，否则将被视为无效投标。</w:t>
      </w:r>
    </w:p>
    <w:p>
      <w:pPr>
        <w:pStyle w:val="31"/>
        <w:bidi w:val="0"/>
        <w:rPr>
          <w:rFonts w:hint="eastAsia" w:ascii="宋体" w:hAnsi="宋体" w:eastAsia="宋体" w:cs="宋体"/>
          <w:color w:val="auto"/>
          <w:highlight w:val="none"/>
        </w:rPr>
      </w:pPr>
      <w:r>
        <w:rPr>
          <w:rFonts w:hint="eastAsia" w:ascii="宋体" w:hAnsi="宋体" w:eastAsia="宋体" w:cs="宋体"/>
          <w:color w:val="auto"/>
          <w:highlight w:val="none"/>
        </w:rPr>
        <w:t>投标人只允许有一个报价，并且在合同履行过程中是固定不变的，任何有选择或可调整的报价将不予接受，并按无效投标处理。</w:t>
      </w:r>
    </w:p>
    <w:p>
      <w:pPr>
        <w:pStyle w:val="31"/>
        <w:bidi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供应商的失信行为受到行政处罚或司法惩处的，按投标人须知</w:t>
      </w:r>
      <w:r>
        <w:rPr>
          <w:rFonts w:hint="eastAsia" w:ascii="宋体" w:hAnsi="宋体" w:eastAsia="宋体" w:cs="宋体"/>
          <w:color w:val="auto"/>
          <w:highlight w:val="none"/>
          <w:lang w:val="en-US" w:eastAsia="zh-CN"/>
        </w:rPr>
        <w:t>前</w:t>
      </w:r>
      <w:r>
        <w:rPr>
          <w:rFonts w:hint="eastAsia" w:ascii="宋体" w:hAnsi="宋体" w:eastAsia="宋体" w:cs="宋体"/>
          <w:color w:val="auto"/>
          <w:highlight w:val="none"/>
          <w:lang w:val="zh-CN"/>
        </w:rPr>
        <w:t>附表中规定的价格加成方式进行惩戒。</w:t>
      </w:r>
    </w:p>
    <w:p>
      <w:pPr>
        <w:pStyle w:val="30"/>
        <w:bidi w:val="0"/>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技术</w:t>
      </w:r>
      <w:r>
        <w:rPr>
          <w:rFonts w:hint="eastAsia" w:ascii="宋体" w:hAnsi="宋体" w:eastAsia="宋体" w:cs="宋体"/>
          <w:b/>
          <w:bCs/>
          <w:color w:val="auto"/>
          <w:highlight w:val="none"/>
          <w:lang w:val="zh-CN"/>
        </w:rPr>
        <w:t>部分</w:t>
      </w:r>
    </w:p>
    <w:p>
      <w:pPr>
        <w:pStyle w:val="29"/>
        <w:bidi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投标人按照招标文件要求做出的</w:t>
      </w:r>
      <w:r>
        <w:rPr>
          <w:rFonts w:hint="eastAsia" w:ascii="宋体" w:hAnsi="宋体" w:eastAsia="宋体" w:cs="宋体"/>
          <w:color w:val="auto"/>
          <w:highlight w:val="none"/>
        </w:rPr>
        <w:t>技术</w:t>
      </w:r>
      <w:r>
        <w:rPr>
          <w:rFonts w:hint="eastAsia" w:ascii="宋体" w:hAnsi="宋体" w:eastAsia="宋体" w:cs="宋体"/>
          <w:color w:val="auto"/>
          <w:highlight w:val="none"/>
          <w:lang w:val="zh-CN"/>
        </w:rPr>
        <w:t>应答，主要是针对招标项目的</w:t>
      </w:r>
      <w:r>
        <w:rPr>
          <w:rFonts w:hint="eastAsia" w:ascii="宋体" w:hAnsi="宋体" w:eastAsia="宋体" w:cs="宋体"/>
          <w:color w:val="auto"/>
          <w:highlight w:val="none"/>
        </w:rPr>
        <w:t>技术</w:t>
      </w:r>
      <w:r>
        <w:rPr>
          <w:rFonts w:hint="eastAsia" w:ascii="宋体" w:hAnsi="宋体" w:eastAsia="宋体" w:cs="宋体"/>
          <w:color w:val="auto"/>
          <w:highlight w:val="none"/>
          <w:lang w:val="zh-CN"/>
        </w:rPr>
        <w:t>要求做出的实质性响应和满足。投标人的</w:t>
      </w:r>
      <w:r>
        <w:rPr>
          <w:rFonts w:hint="eastAsia" w:ascii="宋体" w:hAnsi="宋体" w:eastAsia="宋体" w:cs="宋体"/>
          <w:color w:val="auto"/>
          <w:highlight w:val="none"/>
        </w:rPr>
        <w:t>技术应答</w:t>
      </w:r>
      <w:r>
        <w:rPr>
          <w:rFonts w:hint="eastAsia" w:ascii="宋体" w:hAnsi="宋体" w:eastAsia="宋体" w:cs="宋体"/>
          <w:color w:val="auto"/>
          <w:highlight w:val="none"/>
          <w:lang w:val="en-US" w:eastAsia="zh-CN"/>
        </w:rPr>
        <w:t>应尽可能</w:t>
      </w:r>
      <w:r>
        <w:rPr>
          <w:rFonts w:hint="eastAsia" w:ascii="宋体" w:hAnsi="宋体" w:eastAsia="宋体" w:cs="宋体"/>
          <w:color w:val="auto"/>
          <w:highlight w:val="none"/>
          <w:lang w:val="zh-CN"/>
        </w:rPr>
        <w:t>包括下列内容：</w:t>
      </w:r>
    </w:p>
    <w:p>
      <w:pPr>
        <w:pStyle w:val="31"/>
        <w:bidi w:val="0"/>
        <w:rPr>
          <w:rFonts w:hint="eastAsia" w:ascii="宋体" w:hAnsi="宋体" w:eastAsia="宋体" w:cs="宋体"/>
          <w:color w:val="auto"/>
          <w:highlight w:val="none"/>
        </w:rPr>
      </w:pPr>
      <w:r>
        <w:rPr>
          <w:rFonts w:hint="eastAsia" w:ascii="宋体" w:hAnsi="宋体" w:eastAsia="宋体" w:cs="宋体"/>
          <w:color w:val="auto"/>
          <w:highlight w:val="none"/>
        </w:rPr>
        <w:t>实施方案；</w:t>
      </w:r>
    </w:p>
    <w:p>
      <w:pPr>
        <w:pStyle w:val="31"/>
        <w:bidi w:val="0"/>
        <w:rPr>
          <w:rFonts w:hint="eastAsia" w:ascii="宋体" w:hAnsi="宋体" w:eastAsia="宋体" w:cs="宋体"/>
          <w:color w:val="auto"/>
          <w:highlight w:val="none"/>
        </w:rPr>
      </w:pPr>
      <w:r>
        <w:rPr>
          <w:rFonts w:hint="eastAsia" w:ascii="宋体" w:hAnsi="宋体" w:eastAsia="宋体" w:cs="宋体"/>
          <w:color w:val="auto"/>
          <w:highlight w:val="none"/>
        </w:rPr>
        <w:t>投标技术</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服务响应</w:t>
      </w:r>
      <w:r>
        <w:rPr>
          <w:rFonts w:hint="eastAsia" w:ascii="宋体" w:hAnsi="宋体" w:eastAsia="宋体" w:cs="宋体"/>
          <w:color w:val="auto"/>
          <w:highlight w:val="none"/>
        </w:rPr>
        <w:t>表；</w:t>
      </w:r>
    </w:p>
    <w:p>
      <w:pPr>
        <w:pStyle w:val="31"/>
        <w:bidi w:val="0"/>
        <w:rPr>
          <w:rFonts w:hint="eastAsia" w:ascii="宋体" w:hAnsi="宋体" w:eastAsia="宋体" w:cs="宋体"/>
          <w:color w:val="auto"/>
          <w:highlight w:val="none"/>
        </w:rPr>
      </w:pPr>
      <w:r>
        <w:rPr>
          <w:rFonts w:hint="eastAsia" w:ascii="宋体" w:hAnsi="宋体" w:eastAsia="宋体" w:cs="宋体"/>
          <w:color w:val="auto"/>
          <w:highlight w:val="none"/>
        </w:rPr>
        <w:t>投标人认为需要提供的文件和资料。</w:t>
      </w:r>
    </w:p>
    <w:p>
      <w:pPr>
        <w:pStyle w:val="30"/>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商务部分</w:t>
      </w:r>
    </w:p>
    <w:p>
      <w:pPr>
        <w:pStyle w:val="30"/>
        <w:numPr>
          <w:ilvl w:val="4"/>
          <w:numId w:val="0"/>
        </w:numPr>
        <w:bidi w:val="0"/>
        <w:ind w:leftChars="200"/>
        <w:rPr>
          <w:rFonts w:hint="eastAsia" w:ascii="宋体" w:hAnsi="宋体" w:eastAsia="宋体" w:cs="宋体"/>
          <w:color w:val="auto"/>
          <w:highlight w:val="none"/>
        </w:rPr>
      </w:pPr>
      <w:r>
        <w:rPr>
          <w:rFonts w:hint="eastAsia" w:ascii="宋体" w:hAnsi="宋体" w:eastAsia="宋体" w:cs="宋体"/>
          <w:color w:val="auto"/>
          <w:highlight w:val="none"/>
        </w:rPr>
        <w:t>投标人按照招标文件要求提供的有关证明材料；至少应包括但不限于以下内容：</w:t>
      </w:r>
    </w:p>
    <w:p>
      <w:pPr>
        <w:pStyle w:val="31"/>
        <w:bidi w:val="0"/>
        <w:rPr>
          <w:rFonts w:hint="eastAsia" w:ascii="宋体" w:hAnsi="宋体" w:eastAsia="宋体" w:cs="宋体"/>
          <w:color w:val="auto"/>
          <w:highlight w:val="none"/>
        </w:rPr>
      </w:pPr>
      <w:bookmarkStart w:id="358" w:name="_Toc310411990"/>
      <w:bookmarkStart w:id="359" w:name="_Toc338418069"/>
      <w:bookmarkStart w:id="360" w:name="_Toc310412059"/>
      <w:bookmarkStart w:id="361" w:name="_Toc177972289"/>
      <w:bookmarkStart w:id="362" w:name="_Toc148505258"/>
      <w:bookmarkStart w:id="363" w:name="_Toc310410799"/>
      <w:bookmarkStart w:id="364" w:name="_Toc177972975"/>
      <w:r>
        <w:rPr>
          <w:rFonts w:hint="eastAsia" w:ascii="宋体" w:hAnsi="宋体" w:eastAsia="宋体" w:cs="宋体"/>
          <w:color w:val="auto"/>
          <w:highlight w:val="none"/>
        </w:rPr>
        <w:t>投标函；</w:t>
      </w:r>
    </w:p>
    <w:p>
      <w:pPr>
        <w:pStyle w:val="31"/>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投标人基本情况表；</w:t>
      </w:r>
    </w:p>
    <w:p>
      <w:pPr>
        <w:pStyle w:val="31"/>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商务应答表；</w:t>
      </w:r>
    </w:p>
    <w:p>
      <w:pPr>
        <w:pStyle w:val="31"/>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招标代理服务费承诺函；</w:t>
      </w:r>
    </w:p>
    <w:p>
      <w:pPr>
        <w:pStyle w:val="31"/>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投标人认为应当提供的其他证明材料；</w:t>
      </w:r>
    </w:p>
    <w:p>
      <w:pPr>
        <w:pStyle w:val="31"/>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招标文件规定的其他商务要求</w:t>
      </w:r>
      <w:r>
        <w:rPr>
          <w:rFonts w:hint="eastAsia" w:ascii="宋体" w:hAnsi="宋体" w:eastAsia="宋体" w:cs="宋体"/>
          <w:color w:val="auto"/>
          <w:highlight w:val="none"/>
        </w:rPr>
        <w:t>。</w:t>
      </w:r>
    </w:p>
    <w:bookmarkEnd w:id="358"/>
    <w:bookmarkEnd w:id="359"/>
    <w:bookmarkEnd w:id="360"/>
    <w:bookmarkEnd w:id="361"/>
    <w:bookmarkEnd w:id="362"/>
    <w:bookmarkEnd w:id="363"/>
    <w:bookmarkEnd w:id="364"/>
    <w:p>
      <w:pPr>
        <w:pStyle w:val="30"/>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售后服务</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投标人按照招标文件中售后服务要求作出的积极响应和承诺。</w:t>
      </w:r>
    </w:p>
    <w:p>
      <w:pPr>
        <w:pStyle w:val="30"/>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其他部分</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投标人按照招标文件要求作出的其他应答和承诺。</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rPr>
        <w:t>注：以上</w:t>
      </w:r>
      <w:r>
        <w:rPr>
          <w:rFonts w:hint="eastAsia" w:ascii="宋体" w:hAnsi="宋体" w:eastAsia="宋体" w:cs="宋体"/>
          <w:color w:val="auto"/>
          <w:highlight w:val="none"/>
          <w:lang w:eastAsia="zh-CN"/>
        </w:rPr>
        <w:t>1、</w:t>
      </w:r>
      <w:r>
        <w:rPr>
          <w:rFonts w:hint="eastAsia" w:ascii="宋体" w:hAnsi="宋体" w:eastAsia="宋体" w:cs="宋体"/>
          <w:color w:val="auto"/>
          <w:highlight w:val="none"/>
        </w:rPr>
        <w:t>2要求提供的证明材料均需加盖投标人公章，若未加盖投标人公章的，则该证明材料涉及的评分项不予评分，涉及资格条件</w:t>
      </w:r>
      <w:r>
        <w:rPr>
          <w:rFonts w:hint="eastAsia" w:ascii="宋体" w:hAnsi="宋体" w:eastAsia="宋体" w:cs="宋体"/>
          <w:color w:val="auto"/>
          <w:highlight w:val="none"/>
          <w:lang w:val="en-US" w:eastAsia="zh-CN"/>
        </w:rPr>
        <w:t>或实质性要求</w:t>
      </w:r>
      <w:r>
        <w:rPr>
          <w:rFonts w:hint="eastAsia" w:ascii="宋体" w:hAnsi="宋体" w:eastAsia="宋体" w:cs="宋体"/>
          <w:color w:val="auto"/>
          <w:highlight w:val="none"/>
        </w:rPr>
        <w:t>的评审项按未通过处理。</w:t>
      </w:r>
    </w:p>
    <w:p>
      <w:pPr>
        <w:pStyle w:val="29"/>
        <w:bidi w:val="0"/>
        <w:rPr>
          <w:rFonts w:hint="eastAsia" w:ascii="宋体" w:hAnsi="宋体" w:eastAsia="宋体" w:cs="宋体"/>
          <w:b/>
          <w:bCs/>
          <w:color w:val="auto"/>
          <w:highlight w:val="none"/>
        </w:rPr>
      </w:pPr>
      <w:r>
        <w:rPr>
          <w:rFonts w:hint="eastAsia" w:ascii="宋体" w:hAnsi="宋体" w:eastAsia="宋体" w:cs="宋体"/>
          <w:b/>
          <w:bCs/>
          <w:color w:val="auto"/>
          <w:highlight w:val="none"/>
        </w:rPr>
        <w:t>若综合评分明细表和技术参数中需要提供的证明材料上述未提及，投标人根据综合评分明细表和技术参数</w:t>
      </w:r>
      <w:r>
        <w:rPr>
          <w:rFonts w:hint="eastAsia" w:ascii="宋体" w:hAnsi="宋体" w:eastAsia="宋体" w:cs="宋体"/>
          <w:b/>
          <w:bCs/>
          <w:color w:val="auto"/>
          <w:highlight w:val="none"/>
          <w:lang w:val="en-US" w:eastAsia="zh-CN"/>
        </w:rPr>
        <w:t>要求</w:t>
      </w:r>
      <w:r>
        <w:rPr>
          <w:rFonts w:hint="eastAsia" w:ascii="宋体" w:hAnsi="宋体" w:eastAsia="宋体" w:cs="宋体"/>
          <w:b/>
          <w:bCs/>
          <w:color w:val="auto"/>
          <w:highlight w:val="none"/>
        </w:rPr>
        <w:t>提供相关的证明材料。</w:t>
      </w:r>
    </w:p>
    <w:p>
      <w:pPr>
        <w:pStyle w:val="27"/>
        <w:bidi w:val="0"/>
        <w:rPr>
          <w:rFonts w:hint="eastAsia" w:ascii="宋体" w:hAnsi="宋体" w:eastAsia="宋体" w:cs="宋体"/>
          <w:color w:val="auto"/>
          <w:highlight w:val="none"/>
        </w:rPr>
      </w:pPr>
      <w:bookmarkStart w:id="365" w:name="_Toc3096"/>
      <w:bookmarkStart w:id="366" w:name="_Toc6789"/>
      <w:bookmarkStart w:id="367" w:name="_Toc319440135"/>
      <w:bookmarkStart w:id="368" w:name="_Toc31194"/>
      <w:bookmarkStart w:id="369" w:name="_Toc309897508"/>
      <w:bookmarkStart w:id="370" w:name="_Toc32288"/>
      <w:bookmarkStart w:id="371" w:name="_Toc319439893"/>
      <w:bookmarkStart w:id="372" w:name="_Toc31136"/>
      <w:bookmarkStart w:id="373" w:name="_Toc15763"/>
      <w:bookmarkStart w:id="374" w:name="_Toc327196279"/>
      <w:bookmarkStart w:id="375" w:name="_Toc24012"/>
      <w:bookmarkStart w:id="376" w:name="_Toc32103"/>
      <w:bookmarkStart w:id="377" w:name="_Toc1874"/>
      <w:bookmarkStart w:id="378" w:name="_Toc23655"/>
      <w:bookmarkStart w:id="379" w:name="_Toc307564845"/>
      <w:bookmarkStart w:id="380" w:name="_Toc308188145"/>
      <w:bookmarkStart w:id="381" w:name="_Toc26967"/>
      <w:bookmarkStart w:id="382" w:name="_Toc4288"/>
      <w:bookmarkStart w:id="383" w:name="_Toc308084590"/>
      <w:r>
        <w:rPr>
          <w:rFonts w:hint="eastAsia" w:ascii="宋体" w:hAnsi="宋体" w:eastAsia="宋体" w:cs="宋体"/>
          <w:color w:val="auto"/>
          <w:highlight w:val="none"/>
        </w:rPr>
        <w:t>投标文件格式</w:t>
      </w:r>
      <w:bookmarkEnd w:id="354"/>
      <w:bookmarkEnd w:id="355"/>
      <w:bookmarkEnd w:id="356"/>
      <w:bookmarkEnd w:id="357"/>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Pr>
          <w:rFonts w:hint="eastAsia" w:ascii="宋体" w:hAnsi="宋体" w:eastAsia="宋体" w:cs="宋体"/>
          <w:color w:val="auto"/>
          <w:highlight w:val="none"/>
        </w:rPr>
        <w:tab/>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投标人应按照招标文件第三章中提供的“投标文件格式”填写相关内容。</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对于没有格式要求的由投标人自行编写。</w:t>
      </w:r>
    </w:p>
    <w:p>
      <w:pPr>
        <w:pStyle w:val="27"/>
        <w:bidi w:val="0"/>
        <w:rPr>
          <w:rFonts w:hint="eastAsia" w:ascii="宋体" w:hAnsi="宋体" w:eastAsia="宋体" w:cs="宋体"/>
          <w:color w:val="auto"/>
          <w:highlight w:val="none"/>
        </w:rPr>
      </w:pPr>
      <w:bookmarkStart w:id="384" w:name="_Toc31944"/>
      <w:bookmarkStart w:id="385" w:name="_Toc307501103"/>
      <w:bookmarkStart w:id="386" w:name="_Toc308188146"/>
      <w:bookmarkStart w:id="387" w:name="_Toc308084591"/>
      <w:bookmarkStart w:id="388" w:name="_Toc2456"/>
      <w:bookmarkStart w:id="389" w:name="_Toc21967"/>
      <w:bookmarkStart w:id="390" w:name="_Toc319439894"/>
      <w:bookmarkStart w:id="391" w:name="_Toc26253"/>
      <w:bookmarkStart w:id="392" w:name="_Toc21884"/>
      <w:bookmarkStart w:id="393" w:name="_Toc4102"/>
      <w:bookmarkStart w:id="394" w:name="_Toc183682360"/>
      <w:bookmarkStart w:id="395" w:name="_Toc16016"/>
      <w:bookmarkStart w:id="396" w:name="_Toc309897509"/>
      <w:bookmarkStart w:id="397" w:name="_Toc319440136"/>
      <w:bookmarkStart w:id="398" w:name="_Toc327196280"/>
      <w:bookmarkStart w:id="399" w:name="_Toc14382"/>
      <w:bookmarkStart w:id="400" w:name="_Toc29891"/>
      <w:bookmarkStart w:id="401" w:name="_Toc217446050"/>
      <w:bookmarkStart w:id="402" w:name="_Toc14436"/>
      <w:bookmarkStart w:id="403" w:name="_Toc307564846"/>
      <w:bookmarkStart w:id="404" w:name="_Toc27418"/>
      <w:bookmarkStart w:id="405" w:name="_Toc20642"/>
      <w:bookmarkStart w:id="406" w:name="_Toc183582223"/>
      <w:r>
        <w:rPr>
          <w:rFonts w:hint="eastAsia" w:ascii="宋体" w:hAnsi="宋体" w:eastAsia="宋体" w:cs="宋体"/>
          <w:color w:val="auto"/>
          <w:highlight w:val="none"/>
        </w:rPr>
        <w:t>投标保证金</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pPr>
        <w:pStyle w:val="28"/>
        <w:numPr>
          <w:ilvl w:val="3"/>
          <w:numId w:val="0"/>
        </w:numPr>
        <w:bidi w:val="0"/>
        <w:ind w:leftChars="200"/>
        <w:rPr>
          <w:rFonts w:hint="eastAsia" w:ascii="宋体" w:hAnsi="宋体" w:eastAsia="宋体" w:cs="宋体"/>
          <w:color w:val="auto"/>
          <w:highlight w:val="none"/>
        </w:rPr>
      </w:pPr>
      <w:bookmarkStart w:id="407" w:name="_Toc21338"/>
      <w:bookmarkStart w:id="408" w:name="_Toc309897510"/>
      <w:bookmarkStart w:id="409" w:name="_Toc319439895"/>
      <w:bookmarkStart w:id="410" w:name="_Toc327196281"/>
      <w:bookmarkStart w:id="411" w:name="_Toc9356"/>
      <w:bookmarkStart w:id="412" w:name="_Toc308188147"/>
      <w:bookmarkStart w:id="413" w:name="_Toc26011"/>
      <w:bookmarkStart w:id="414" w:name="_Toc217446051"/>
      <w:bookmarkStart w:id="415" w:name="_Toc13956"/>
      <w:bookmarkStart w:id="416" w:name="_Toc29434"/>
      <w:bookmarkStart w:id="417" w:name="_Toc27589"/>
      <w:bookmarkStart w:id="418" w:name="_Toc307564847"/>
      <w:bookmarkStart w:id="419" w:name="_Toc31284"/>
      <w:bookmarkStart w:id="420" w:name="_Toc183682361"/>
      <w:bookmarkStart w:id="421" w:name="_Toc183582224"/>
      <w:bookmarkStart w:id="422" w:name="_Toc17857"/>
      <w:bookmarkStart w:id="423" w:name="_Toc319440137"/>
      <w:bookmarkStart w:id="424" w:name="_Toc308084592"/>
      <w:bookmarkStart w:id="425" w:name="_Toc307501104"/>
      <w:r>
        <w:rPr>
          <w:rFonts w:hint="eastAsia" w:ascii="宋体" w:hAnsi="宋体" w:eastAsia="宋体" w:cs="宋体"/>
          <w:color w:val="auto"/>
          <w:highlight w:val="none"/>
          <w:lang w:val="en-US" w:eastAsia="zh-CN"/>
        </w:rPr>
        <w:t>本项目不收取投标保证金</w:t>
      </w:r>
      <w:r>
        <w:rPr>
          <w:rFonts w:hint="eastAsia" w:ascii="宋体" w:hAnsi="宋体" w:eastAsia="宋体" w:cs="宋体"/>
          <w:color w:val="auto"/>
          <w:highlight w:val="none"/>
        </w:rPr>
        <w:t>。</w:t>
      </w:r>
    </w:p>
    <w:p>
      <w:pPr>
        <w:pStyle w:val="27"/>
        <w:bidi w:val="0"/>
        <w:rPr>
          <w:rFonts w:hint="eastAsia" w:ascii="宋体" w:hAnsi="宋体" w:eastAsia="宋体" w:cs="宋体"/>
          <w:color w:val="auto"/>
          <w:highlight w:val="none"/>
        </w:rPr>
      </w:pPr>
      <w:bookmarkStart w:id="426" w:name="_Toc20243"/>
      <w:bookmarkStart w:id="427" w:name="_Toc19115"/>
      <w:bookmarkStart w:id="428" w:name="_Toc30115"/>
      <w:bookmarkStart w:id="429" w:name="_Toc8397"/>
      <w:r>
        <w:rPr>
          <w:rFonts w:hint="eastAsia" w:ascii="宋体" w:hAnsi="宋体" w:eastAsia="宋体" w:cs="宋体"/>
          <w:color w:val="auto"/>
          <w:highlight w:val="none"/>
        </w:rPr>
        <w:t>投标有效期</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hint="eastAsia" w:ascii="宋体" w:hAnsi="宋体" w:eastAsia="宋体" w:cs="宋体"/>
          <w:color w:val="auto"/>
          <w:highlight w:val="none"/>
          <w:lang w:eastAsia="zh-CN"/>
        </w:rPr>
        <w:t>(</w:t>
      </w:r>
      <w:r>
        <w:rPr>
          <w:rFonts w:hint="eastAsia" w:ascii="宋体" w:hAnsi="宋体" w:eastAsia="宋体" w:cs="宋体"/>
          <w:color w:val="auto"/>
          <w:highlight w:val="none"/>
        </w:rPr>
        <w:t>实质性要求</w:t>
      </w:r>
      <w:bookmarkEnd w:id="426"/>
      <w:r>
        <w:rPr>
          <w:rFonts w:hint="eastAsia" w:ascii="宋体" w:hAnsi="宋体" w:eastAsia="宋体" w:cs="宋体"/>
          <w:color w:val="auto"/>
          <w:highlight w:val="none"/>
          <w:lang w:eastAsia="zh-CN"/>
        </w:rPr>
        <w:t>)</w:t>
      </w:r>
      <w:bookmarkEnd w:id="427"/>
      <w:bookmarkEnd w:id="428"/>
      <w:bookmarkEnd w:id="429"/>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投标有效期为提交投标文件的截止之日起</w:t>
      </w:r>
      <w:r>
        <w:rPr>
          <w:rFonts w:hint="eastAsia" w:ascii="宋体" w:hAnsi="宋体" w:eastAsia="宋体" w:cs="宋体"/>
          <w:color w:val="auto"/>
          <w:highlight w:val="none"/>
          <w:lang w:eastAsia="zh-CN"/>
        </w:rPr>
        <w:t>90日</w:t>
      </w:r>
      <w:r>
        <w:rPr>
          <w:rFonts w:hint="eastAsia" w:ascii="宋体" w:hAnsi="宋体" w:eastAsia="宋体" w:cs="宋体"/>
          <w:color w:val="auto"/>
          <w:highlight w:val="none"/>
        </w:rPr>
        <w:t>。投标人投标文件中必须载明投标有效期，投标文件中载明的投标有效期可以长于招标文件规定的期限，但不得短于招标文件规定的期限。否则，其投标文件将作为无效投标处理。</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27"/>
        <w:bidi w:val="0"/>
        <w:rPr>
          <w:rFonts w:hint="eastAsia" w:ascii="宋体" w:hAnsi="宋体" w:eastAsia="宋体" w:cs="宋体"/>
          <w:color w:val="auto"/>
          <w:highlight w:val="none"/>
        </w:rPr>
      </w:pPr>
      <w:bookmarkStart w:id="430" w:name="_Toc308084593"/>
      <w:bookmarkStart w:id="431" w:name="_Toc26817"/>
      <w:bookmarkStart w:id="432" w:name="_Toc217446052"/>
      <w:bookmarkStart w:id="433" w:name="_Toc3077"/>
      <w:bookmarkStart w:id="434" w:name="_Toc183682362"/>
      <w:bookmarkStart w:id="435" w:name="_Toc183582225"/>
      <w:bookmarkStart w:id="436" w:name="_Toc308188148"/>
      <w:bookmarkStart w:id="437" w:name="_Toc319439896"/>
      <w:bookmarkStart w:id="438" w:name="_Toc3717"/>
      <w:bookmarkStart w:id="439" w:name="_Toc12545"/>
      <w:bookmarkStart w:id="440" w:name="_Toc6239"/>
      <w:bookmarkStart w:id="441" w:name="_Toc22593"/>
      <w:bookmarkStart w:id="442" w:name="_Toc25471"/>
      <w:bookmarkStart w:id="443" w:name="_Toc7213"/>
      <w:bookmarkStart w:id="444" w:name="_Toc307564848"/>
      <w:bookmarkStart w:id="445" w:name="_Toc27461"/>
      <w:bookmarkStart w:id="446" w:name="_Toc307501105"/>
      <w:bookmarkStart w:id="447" w:name="_Toc27612"/>
      <w:bookmarkStart w:id="448" w:name="_Toc2483"/>
      <w:bookmarkStart w:id="449" w:name="_Toc24656"/>
      <w:bookmarkStart w:id="450" w:name="_Toc319440138"/>
      <w:bookmarkStart w:id="451" w:name="_Toc309897511"/>
      <w:bookmarkStart w:id="452" w:name="_Toc327196282"/>
      <w:r>
        <w:rPr>
          <w:rFonts w:hint="eastAsia" w:ascii="宋体" w:hAnsi="宋体" w:eastAsia="宋体" w:cs="宋体"/>
          <w:color w:val="auto"/>
          <w:highlight w:val="none"/>
        </w:rPr>
        <w:t>投标文件的印制和签署</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pStyle w:val="28"/>
        <w:bidi w:val="0"/>
        <w:rPr>
          <w:rFonts w:hint="eastAsia" w:ascii="宋体" w:hAnsi="宋体" w:eastAsia="宋体" w:cs="宋体"/>
          <w:color w:val="auto"/>
          <w:highlight w:val="none"/>
        </w:rPr>
      </w:pPr>
      <w:bookmarkStart w:id="453" w:name="_Toc77400781"/>
      <w:bookmarkStart w:id="454" w:name="_Toc183582226"/>
      <w:bookmarkStart w:id="455" w:name="_Toc183682363"/>
      <w:bookmarkStart w:id="456" w:name="_Toc89075877"/>
      <w:bookmarkStart w:id="457" w:name="_Toc19839"/>
      <w:bookmarkStart w:id="458" w:name="_Toc5019"/>
      <w:bookmarkStart w:id="459" w:name="_Toc319439897"/>
      <w:bookmarkStart w:id="460" w:name="_Toc23675"/>
      <w:bookmarkStart w:id="461" w:name="_Toc17010"/>
      <w:bookmarkStart w:id="462" w:name="_Toc13153"/>
      <w:bookmarkStart w:id="463" w:name="_Toc16752"/>
      <w:bookmarkStart w:id="464" w:name="_Toc308188149"/>
      <w:bookmarkStart w:id="465" w:name="_Toc327196283"/>
      <w:bookmarkStart w:id="466" w:name="_Toc6805"/>
      <w:bookmarkStart w:id="467" w:name="_Toc309897512"/>
      <w:bookmarkStart w:id="468" w:name="_Toc319440139"/>
      <w:bookmarkStart w:id="469" w:name="_Toc307564849"/>
      <w:bookmarkStart w:id="470" w:name="_Toc27443"/>
      <w:bookmarkStart w:id="471" w:name="_Toc307501106"/>
      <w:bookmarkStart w:id="472" w:name="_Toc23619"/>
      <w:bookmarkStart w:id="473" w:name="_Toc308084594"/>
      <w:bookmarkStart w:id="474" w:name="_Toc217446053"/>
      <w:bookmarkStart w:id="475" w:name="_Toc10555"/>
      <w:bookmarkStart w:id="476" w:name="_Toc19635"/>
      <w:r>
        <w:rPr>
          <w:rFonts w:hint="eastAsia" w:ascii="宋体" w:hAnsi="宋体" w:eastAsia="宋体" w:cs="宋体"/>
          <w:color w:val="auto"/>
          <w:highlight w:val="none"/>
        </w:rPr>
        <w:t>投标文件分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资格、资质性及其他类似效力投标文件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其他投标文件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两部分，分册装订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内容不得相互混装</w:t>
      </w:r>
      <w:r>
        <w:rPr>
          <w:rFonts w:hint="eastAsia" w:ascii="宋体" w:hAnsi="宋体" w:eastAsia="宋体" w:cs="宋体"/>
          <w:color w:val="auto"/>
          <w:highlight w:val="none"/>
        </w:rPr>
        <w:t>。</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投标文件按招标文件要求的格式进行密封。资格、资质性及其他类似效力投标文件用于采购人或采购代理机构对投标人进行资格审查，其他投标文件用于评标委员会评审。</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投标人递交的投标文件为一式叁份，其中正本壹份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副本贰份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单独提交用于开标唱标的“开标一览表”</w:t>
      </w:r>
      <w:r>
        <w:rPr>
          <w:rFonts w:hint="eastAsia" w:ascii="宋体" w:hAnsi="宋体" w:eastAsia="宋体" w:cs="宋体"/>
          <w:color w:val="auto"/>
          <w:highlight w:val="none"/>
          <w:lang w:val="en-US" w:eastAsia="zh-CN"/>
        </w:rPr>
        <w:t>壹</w:t>
      </w:r>
      <w:r>
        <w:rPr>
          <w:rFonts w:hint="eastAsia" w:ascii="宋体" w:hAnsi="宋体" w:eastAsia="宋体" w:cs="宋体"/>
          <w:color w:val="auto"/>
          <w:highlight w:val="none"/>
        </w:rPr>
        <w:t>份原件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加盖公章，复印件无效</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rPr>
        <w:t>(实质性要求)</w:t>
      </w:r>
      <w:r>
        <w:rPr>
          <w:rFonts w:hint="eastAsia" w:ascii="宋体" w:hAnsi="宋体" w:eastAsia="宋体" w:cs="宋体"/>
          <w:color w:val="auto"/>
          <w:highlight w:val="none"/>
        </w:rPr>
        <w:t>。</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“开标一览表”除单独密封提交外，还应编制于其他投标文件正副本内，如有遗漏，将视为无效投标</w:t>
      </w:r>
      <w:r>
        <w:rPr>
          <w:rFonts w:hint="eastAsia" w:ascii="宋体" w:hAnsi="宋体" w:eastAsia="宋体" w:cs="宋体"/>
          <w:b/>
          <w:bCs/>
          <w:color w:val="auto"/>
          <w:highlight w:val="none"/>
        </w:rPr>
        <w:t>(实质性要求)</w:t>
      </w:r>
      <w:r>
        <w:rPr>
          <w:rFonts w:hint="eastAsia" w:ascii="宋体" w:hAnsi="宋体" w:eastAsia="宋体" w:cs="宋体"/>
          <w:color w:val="auto"/>
          <w:highlight w:val="none"/>
        </w:rPr>
        <w:t>。</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投标文件正本和副本统一用A4幅面纸印制(图、表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证件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宣传资料、技术证明材料</w:t>
      </w:r>
      <w:r>
        <w:rPr>
          <w:rFonts w:hint="eastAsia" w:ascii="宋体" w:hAnsi="宋体" w:eastAsia="宋体" w:cs="宋体"/>
          <w:color w:val="auto"/>
          <w:highlight w:val="none"/>
        </w:rPr>
        <w:t>可以除外)，逐页编码，可双面打印。</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投标文件的正本和副本应采用左侧胶装，不得散装或者活页装订</w:t>
      </w:r>
      <w:r>
        <w:rPr>
          <w:rFonts w:hint="eastAsia" w:ascii="宋体" w:hAnsi="宋体" w:eastAsia="宋体" w:cs="宋体"/>
          <w:color w:val="auto"/>
          <w:highlight w:val="none"/>
          <w:lang w:eastAsia="zh-CN"/>
        </w:rPr>
        <w:t>。</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若投标文件内容较多，可分册装订，并在封面标明次序及册数。</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投标文件中的证明、证件及附件等复印件应集中紧附在相应正文内容后面，并尽量与前面正文部分的顺序相对应。</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ascii="宋体" w:hAnsi="宋体" w:eastAsia="宋体" w:cs="宋体"/>
          <w:b/>
          <w:bCs/>
          <w:color w:val="auto"/>
          <w:highlight w:val="none"/>
        </w:rPr>
        <w:t>(实质性要求)</w:t>
      </w:r>
      <w:r>
        <w:rPr>
          <w:rFonts w:hint="eastAsia" w:ascii="宋体" w:hAnsi="宋体" w:eastAsia="宋体" w:cs="宋体"/>
          <w:color w:val="auto"/>
          <w:highlight w:val="none"/>
        </w:rPr>
        <w:t>。</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投标文件应根据上述要求制作，签署、盖章，内容应完整。</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本招标文件要求的复印件是指对图文进行复制后的文件，包括扫描、复印、影印等方式复制的材料。</w:t>
      </w:r>
    </w:p>
    <w:p>
      <w:pPr>
        <w:pStyle w:val="27"/>
        <w:bidi w:val="0"/>
        <w:rPr>
          <w:rFonts w:hint="eastAsia" w:ascii="宋体" w:hAnsi="宋体" w:eastAsia="宋体" w:cs="宋体"/>
          <w:color w:val="auto"/>
          <w:highlight w:val="none"/>
        </w:rPr>
      </w:pPr>
      <w:bookmarkStart w:id="477" w:name="_Toc2175"/>
      <w:r>
        <w:rPr>
          <w:rFonts w:hint="eastAsia" w:ascii="宋体" w:hAnsi="宋体" w:eastAsia="宋体" w:cs="宋体"/>
          <w:color w:val="auto"/>
          <w:highlight w:val="none"/>
        </w:rPr>
        <w:t>投标文件的密封和标</w:t>
      </w:r>
      <w:bookmarkEnd w:id="453"/>
      <w:bookmarkEnd w:id="454"/>
      <w:bookmarkEnd w:id="455"/>
      <w:bookmarkEnd w:id="456"/>
      <w:r>
        <w:rPr>
          <w:rFonts w:hint="eastAsia" w:ascii="宋体" w:hAnsi="宋体" w:eastAsia="宋体" w:cs="宋体"/>
          <w:color w:val="auto"/>
          <w:highlight w:val="none"/>
        </w:rPr>
        <w:t>注</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pStyle w:val="28"/>
        <w:bidi w:val="0"/>
        <w:rPr>
          <w:rFonts w:hint="eastAsia" w:ascii="宋体" w:hAnsi="宋体" w:eastAsia="宋体" w:cs="宋体"/>
          <w:color w:val="auto"/>
          <w:highlight w:val="none"/>
        </w:rPr>
      </w:pPr>
      <w:bookmarkStart w:id="478" w:name="_Toc183582227"/>
      <w:bookmarkStart w:id="479" w:name="_Toc183682364"/>
      <w:bookmarkStart w:id="480" w:name="_Toc308188150"/>
      <w:bookmarkStart w:id="481" w:name="_Toc54"/>
      <w:bookmarkStart w:id="482" w:name="_Toc5768"/>
      <w:bookmarkStart w:id="483" w:name="_Toc307564850"/>
      <w:bookmarkStart w:id="484" w:name="_Toc7231"/>
      <w:bookmarkStart w:id="485" w:name="_Toc309897513"/>
      <w:bookmarkStart w:id="486" w:name="_Toc2092"/>
      <w:bookmarkStart w:id="487" w:name="_Toc25113"/>
      <w:bookmarkStart w:id="488" w:name="_Toc319440140"/>
      <w:bookmarkStart w:id="489" w:name="_Toc308084595"/>
      <w:bookmarkStart w:id="490" w:name="_Toc20273"/>
      <w:bookmarkStart w:id="491" w:name="_Toc307501107"/>
      <w:bookmarkStart w:id="492" w:name="_Toc327196284"/>
      <w:bookmarkStart w:id="493" w:name="_Toc217446054"/>
      <w:bookmarkStart w:id="494" w:name="_Toc319439898"/>
      <w:r>
        <w:rPr>
          <w:rFonts w:hint="eastAsia" w:ascii="宋体" w:hAnsi="宋体" w:eastAsia="宋体" w:cs="宋体"/>
          <w:color w:val="auto"/>
          <w:highlight w:val="none"/>
        </w:rPr>
        <w:t>投标人应在投标文件正本和所有副本的封面上注明投标人名称、项目编号、项目名称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投标日期。</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资格、资质性及其他类似效力投标文件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其他投标文件、</w:t>
      </w:r>
      <w:r>
        <w:rPr>
          <w:rFonts w:hint="eastAsia" w:ascii="宋体" w:hAnsi="宋体" w:eastAsia="宋体" w:cs="宋体"/>
          <w:color w:val="auto"/>
          <w:highlight w:val="none"/>
        </w:rPr>
        <w:t>用于开标唱标单独提交的开标一览表，应分别封装于不同的密封袋内，密封袋的封口处应粘贴牢固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密封袋上应分别标上“</w:t>
      </w:r>
      <w:r>
        <w:rPr>
          <w:rFonts w:hint="eastAsia" w:ascii="宋体" w:hAnsi="宋体" w:eastAsia="宋体" w:cs="宋体"/>
          <w:color w:val="auto"/>
          <w:highlight w:val="none"/>
          <w:lang w:eastAsia="zh-CN"/>
        </w:rPr>
        <w:t>资格、资质性及其他类似效力投标文件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其他投标文件</w:t>
      </w:r>
      <w:r>
        <w:rPr>
          <w:rFonts w:hint="eastAsia" w:ascii="宋体" w:hAnsi="宋体" w:eastAsia="宋体" w:cs="宋体"/>
          <w:color w:val="auto"/>
          <w:highlight w:val="none"/>
        </w:rPr>
        <w:t>”、“开标一览表”字样，并注明投标人名称、项目名称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项目编号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并</w:t>
      </w:r>
      <w:r>
        <w:rPr>
          <w:rFonts w:hint="eastAsia" w:ascii="宋体" w:hAnsi="宋体" w:eastAsia="宋体" w:cs="宋体"/>
          <w:color w:val="auto"/>
          <w:highlight w:val="none"/>
          <w:lang w:eastAsia="zh-CN"/>
        </w:rPr>
        <w:t>在封口处</w:t>
      </w:r>
      <w:r>
        <w:rPr>
          <w:rFonts w:hint="eastAsia" w:ascii="宋体" w:hAnsi="宋体" w:eastAsia="宋体" w:cs="宋体"/>
          <w:color w:val="auto"/>
          <w:highlight w:val="none"/>
        </w:rPr>
        <w:t>加盖投标人公章。</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未按照招标文件要求密封的投标文件，</w:t>
      </w:r>
      <w:r>
        <w:rPr>
          <w:rFonts w:hint="eastAsia" w:ascii="宋体" w:hAnsi="宋体" w:eastAsia="宋体" w:cs="宋体"/>
          <w:color w:val="auto"/>
          <w:highlight w:val="none"/>
          <w:lang w:val="en-US" w:eastAsia="zh-CN"/>
        </w:rPr>
        <w:t>将被</w:t>
      </w:r>
      <w:r>
        <w:rPr>
          <w:rFonts w:hint="eastAsia" w:ascii="宋体" w:hAnsi="宋体" w:eastAsia="宋体" w:cs="宋体"/>
          <w:color w:val="auto"/>
          <w:highlight w:val="none"/>
        </w:rPr>
        <w:t>采购代理机构拒收。</w:t>
      </w:r>
    </w:p>
    <w:p>
      <w:pPr>
        <w:pStyle w:val="27"/>
        <w:bidi w:val="0"/>
        <w:rPr>
          <w:rFonts w:hint="eastAsia" w:ascii="宋体" w:hAnsi="宋体" w:eastAsia="宋体" w:cs="宋体"/>
          <w:color w:val="auto"/>
          <w:highlight w:val="none"/>
        </w:rPr>
      </w:pPr>
      <w:bookmarkStart w:id="495" w:name="_Toc9965"/>
      <w:bookmarkStart w:id="496" w:name="_Toc7756"/>
      <w:bookmarkStart w:id="497" w:name="_Toc30361"/>
      <w:bookmarkStart w:id="498" w:name="_Toc25947"/>
      <w:bookmarkStart w:id="499" w:name="_Toc27234"/>
      <w:bookmarkStart w:id="500" w:name="_Toc19406"/>
      <w:r>
        <w:rPr>
          <w:rFonts w:hint="eastAsia" w:ascii="宋体" w:hAnsi="宋体" w:eastAsia="宋体" w:cs="宋体"/>
          <w:color w:val="auto"/>
          <w:highlight w:val="none"/>
        </w:rPr>
        <w:t>投标文件的</w:t>
      </w:r>
      <w:bookmarkEnd w:id="478"/>
      <w:bookmarkEnd w:id="479"/>
      <w:r>
        <w:rPr>
          <w:rFonts w:hint="eastAsia" w:ascii="宋体" w:hAnsi="宋体" w:eastAsia="宋体" w:cs="宋体"/>
          <w:color w:val="auto"/>
          <w:highlight w:val="none"/>
        </w:rPr>
        <w:t>递交</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投标人应在招标文件规定的投标截止时间前，将投标文件按招标文件规定密封后送达开标地点。</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逾期送达或者未按照招标文件要求密封的投标文件，</w:t>
      </w:r>
      <w:r>
        <w:rPr>
          <w:rFonts w:hint="eastAsia" w:ascii="宋体" w:hAnsi="宋体" w:eastAsia="宋体" w:cs="宋体"/>
          <w:color w:val="auto"/>
          <w:highlight w:val="none"/>
          <w:lang w:val="en-US" w:eastAsia="zh-CN"/>
        </w:rPr>
        <w:t>将被</w:t>
      </w:r>
      <w:r>
        <w:rPr>
          <w:rFonts w:hint="eastAsia" w:ascii="宋体" w:hAnsi="宋体" w:eastAsia="宋体" w:cs="宋体"/>
          <w:color w:val="auto"/>
          <w:highlight w:val="none"/>
        </w:rPr>
        <w:t>采购代理机构拒收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rPr>
        <w:t>告知投标人不予接收的原因。</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递交投标文件时，</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供应商名称和</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文件的</w:t>
      </w:r>
      <w:r>
        <w:rPr>
          <w:rFonts w:hint="eastAsia" w:ascii="宋体" w:hAnsi="宋体" w:eastAsia="宋体" w:cs="宋体"/>
          <w:color w:val="auto"/>
          <w:highlight w:val="none"/>
          <w:lang w:val="en-US" w:eastAsia="zh-CN"/>
        </w:rPr>
        <w:t>项目编号</w:t>
      </w:r>
      <w:r>
        <w:rPr>
          <w:rFonts w:hint="eastAsia" w:ascii="宋体" w:hAnsi="宋体" w:eastAsia="宋体" w:cs="宋体"/>
          <w:color w:val="auto"/>
          <w:highlight w:val="none"/>
        </w:rPr>
        <w:t>应当与</w:t>
      </w:r>
      <w:r>
        <w:rPr>
          <w:rFonts w:hint="eastAsia" w:ascii="宋体" w:hAnsi="宋体" w:eastAsia="宋体" w:cs="宋体"/>
          <w:color w:val="auto"/>
          <w:highlight w:val="none"/>
          <w:lang w:val="en-US" w:eastAsia="zh-CN"/>
        </w:rPr>
        <w:t>报名</w:t>
      </w:r>
      <w:r>
        <w:rPr>
          <w:rFonts w:hint="eastAsia" w:ascii="宋体" w:hAnsi="宋体" w:eastAsia="宋体" w:cs="宋体"/>
          <w:color w:val="auto"/>
          <w:highlight w:val="none"/>
        </w:rPr>
        <w:t>供应商名称和招标文件的</w:t>
      </w:r>
      <w:r>
        <w:rPr>
          <w:rFonts w:hint="eastAsia" w:ascii="宋体" w:hAnsi="宋体" w:eastAsia="宋体" w:cs="宋体"/>
          <w:color w:val="auto"/>
          <w:highlight w:val="none"/>
          <w:lang w:val="en-US" w:eastAsia="zh-CN"/>
        </w:rPr>
        <w:t>项目编号</w:t>
      </w:r>
      <w:r>
        <w:rPr>
          <w:rFonts w:hint="eastAsia" w:ascii="宋体" w:hAnsi="宋体" w:eastAsia="宋体" w:cs="宋体"/>
          <w:color w:val="auto"/>
          <w:highlight w:val="none"/>
        </w:rPr>
        <w:t>一致。但是，投标文件实质内容</w:t>
      </w:r>
      <w:r>
        <w:rPr>
          <w:rFonts w:hint="eastAsia" w:ascii="宋体" w:hAnsi="宋体" w:eastAsia="宋体" w:cs="宋体"/>
          <w:color w:val="auto"/>
          <w:highlight w:val="none"/>
          <w:lang w:val="en-US" w:eastAsia="zh-CN"/>
        </w:rPr>
        <w:t>与</w:t>
      </w:r>
      <w:r>
        <w:rPr>
          <w:rFonts w:hint="eastAsia" w:ascii="宋体" w:hAnsi="宋体" w:eastAsia="宋体" w:cs="宋体"/>
          <w:color w:val="auto"/>
          <w:highlight w:val="none"/>
        </w:rPr>
        <w:t>报名供应商名称和招标文件的</w:t>
      </w:r>
      <w:r>
        <w:rPr>
          <w:rFonts w:hint="eastAsia" w:ascii="宋体" w:hAnsi="宋体" w:eastAsia="宋体" w:cs="宋体"/>
          <w:color w:val="auto"/>
          <w:highlight w:val="none"/>
          <w:lang w:val="en-US" w:eastAsia="zh-CN"/>
        </w:rPr>
        <w:t>项目编号</w:t>
      </w:r>
      <w:r>
        <w:rPr>
          <w:rFonts w:hint="eastAsia" w:ascii="宋体" w:hAnsi="宋体" w:eastAsia="宋体" w:cs="宋体"/>
          <w:color w:val="auto"/>
          <w:highlight w:val="none"/>
        </w:rPr>
        <w:t>一致，只是封面文字错误的，可以在评标过程中当面予以澄清，以有效的澄清材料作为认定投标文件是否有效的依据。</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本次招标不接收邮寄的投标文件。</w:t>
      </w:r>
    </w:p>
    <w:p>
      <w:pPr>
        <w:pStyle w:val="27"/>
        <w:bidi w:val="0"/>
        <w:rPr>
          <w:rFonts w:hint="eastAsia" w:ascii="宋体" w:hAnsi="宋体" w:eastAsia="宋体" w:cs="宋体"/>
          <w:color w:val="auto"/>
          <w:highlight w:val="none"/>
        </w:rPr>
      </w:pPr>
      <w:bookmarkStart w:id="501" w:name="_Toc183582228"/>
      <w:bookmarkStart w:id="502" w:name="_Toc183682365"/>
      <w:bookmarkStart w:id="503" w:name="_Toc17045"/>
      <w:bookmarkStart w:id="504" w:name="_Toc319439899"/>
      <w:bookmarkStart w:id="505" w:name="_Toc4178"/>
      <w:bookmarkStart w:id="506" w:name="_Toc1451"/>
      <w:bookmarkStart w:id="507" w:name="_Toc15674"/>
      <w:bookmarkStart w:id="508" w:name="_Toc309897514"/>
      <w:bookmarkStart w:id="509" w:name="_Toc26118"/>
      <w:bookmarkStart w:id="510" w:name="_Toc307564851"/>
      <w:bookmarkStart w:id="511" w:name="_Toc12138"/>
      <w:bookmarkStart w:id="512" w:name="_Toc10822"/>
      <w:bookmarkStart w:id="513" w:name="_Toc7313"/>
      <w:bookmarkStart w:id="514" w:name="_Toc327196285"/>
      <w:bookmarkStart w:id="515" w:name="_Toc308188151"/>
      <w:bookmarkStart w:id="516" w:name="_Toc6140"/>
      <w:bookmarkStart w:id="517" w:name="_Toc319440141"/>
      <w:bookmarkStart w:id="518" w:name="_Toc3865"/>
      <w:bookmarkStart w:id="519" w:name="_Toc23816"/>
      <w:bookmarkStart w:id="520" w:name="_Toc217446055"/>
      <w:bookmarkStart w:id="521" w:name="_Toc22634"/>
      <w:bookmarkStart w:id="522" w:name="_Toc308084596"/>
      <w:bookmarkStart w:id="523" w:name="_Toc307501108"/>
      <w:r>
        <w:rPr>
          <w:rFonts w:hint="eastAsia" w:ascii="宋体" w:hAnsi="宋体" w:eastAsia="宋体" w:cs="宋体"/>
          <w:color w:val="auto"/>
          <w:highlight w:val="none"/>
        </w:rPr>
        <w:t>投标文件的修改和撤</w:t>
      </w:r>
      <w:bookmarkEnd w:id="501"/>
      <w:bookmarkEnd w:id="502"/>
      <w:r>
        <w:rPr>
          <w:rFonts w:hint="eastAsia" w:ascii="宋体" w:hAnsi="宋体" w:eastAsia="宋体" w:cs="宋体"/>
          <w:color w:val="auto"/>
          <w:highlight w:val="none"/>
        </w:rPr>
        <w:t>回</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投标人的修改书或撤回通知书，应由其</w:t>
      </w: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签署并盖单位印章。修改书应按</w:t>
      </w:r>
      <w:r>
        <w:rPr>
          <w:rFonts w:hint="eastAsia" w:ascii="宋体" w:hAnsi="宋体" w:eastAsia="宋体" w:cs="宋体"/>
          <w:color w:val="auto"/>
          <w:highlight w:val="none"/>
          <w:lang w:val="en-US" w:eastAsia="zh-CN"/>
        </w:rPr>
        <w:t>第二章第四节第十一</w:t>
      </w:r>
      <w:r>
        <w:rPr>
          <w:rFonts w:hint="eastAsia" w:ascii="宋体" w:hAnsi="宋体" w:eastAsia="宋体" w:cs="宋体"/>
          <w:color w:val="auto"/>
          <w:highlight w:val="none"/>
        </w:rPr>
        <w:t>条规定进行密封和标注，并在密封袋上标注“修改”字样。</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在投标截止时间之后，投标人不得对其递交的投标文件做任何修改，撤回投标的，将按照有关规定进行相应处理。</w:t>
      </w:r>
    </w:p>
    <w:p>
      <w:pPr>
        <w:pStyle w:val="46"/>
        <w:bidi w:val="0"/>
        <w:rPr>
          <w:rFonts w:hint="eastAsia" w:ascii="宋体" w:hAnsi="宋体" w:eastAsia="宋体" w:cs="宋体"/>
          <w:color w:val="auto"/>
          <w:highlight w:val="none"/>
        </w:rPr>
      </w:pPr>
      <w:bookmarkStart w:id="524" w:name="_Toc183582231"/>
      <w:bookmarkStart w:id="525" w:name="_Toc24962"/>
      <w:bookmarkStart w:id="526" w:name="_Toc327196286"/>
      <w:bookmarkStart w:id="527" w:name="_Toc183682368"/>
      <w:bookmarkStart w:id="528" w:name="_Toc15691"/>
      <w:bookmarkStart w:id="529" w:name="_Toc89075878"/>
      <w:bookmarkStart w:id="530" w:name="_Toc16817"/>
      <w:bookmarkStart w:id="531" w:name="_Toc21531"/>
      <w:bookmarkStart w:id="532" w:name="_Toc217446056"/>
      <w:bookmarkStart w:id="533" w:name="_Toc21097"/>
      <w:bookmarkStart w:id="534" w:name="_Toc77400782"/>
      <w:r>
        <w:rPr>
          <w:rFonts w:hint="eastAsia" w:ascii="宋体" w:hAnsi="宋体" w:eastAsia="宋体" w:cs="宋体"/>
          <w:color w:val="auto"/>
          <w:highlight w:val="none"/>
        </w:rPr>
        <w:t>开标和中标</w:t>
      </w:r>
      <w:bookmarkEnd w:id="524"/>
      <w:bookmarkEnd w:id="525"/>
      <w:bookmarkEnd w:id="526"/>
      <w:bookmarkEnd w:id="527"/>
      <w:bookmarkEnd w:id="528"/>
      <w:bookmarkEnd w:id="529"/>
      <w:bookmarkEnd w:id="530"/>
      <w:bookmarkEnd w:id="531"/>
      <w:bookmarkEnd w:id="532"/>
      <w:bookmarkEnd w:id="533"/>
      <w:bookmarkEnd w:id="534"/>
    </w:p>
    <w:p>
      <w:pPr>
        <w:pStyle w:val="27"/>
        <w:numPr>
          <w:ilvl w:val="2"/>
          <w:numId w:val="13"/>
        </w:numPr>
        <w:bidi w:val="0"/>
        <w:rPr>
          <w:rFonts w:hint="eastAsia" w:ascii="宋体" w:hAnsi="宋体" w:eastAsia="宋体" w:cs="宋体"/>
          <w:color w:val="auto"/>
          <w:highlight w:val="none"/>
        </w:rPr>
      </w:pPr>
      <w:bookmarkStart w:id="535" w:name="_Toc327196287"/>
      <w:bookmarkStart w:id="536" w:name="_Toc217446057"/>
      <w:bookmarkStart w:id="537" w:name="_Toc13303"/>
      <w:bookmarkStart w:id="538" w:name="_Toc23998"/>
      <w:bookmarkStart w:id="539" w:name="_Toc307564853"/>
      <w:bookmarkStart w:id="540" w:name="_Toc6289"/>
      <w:bookmarkStart w:id="541" w:name="_Toc15426"/>
      <w:bookmarkStart w:id="542" w:name="_Toc308188153"/>
      <w:bookmarkStart w:id="543" w:name="_Toc18049"/>
      <w:bookmarkStart w:id="544" w:name="_Toc11957"/>
      <w:bookmarkStart w:id="545" w:name="_Toc307501110"/>
      <w:bookmarkStart w:id="546" w:name="_Toc308084598"/>
      <w:bookmarkStart w:id="547" w:name="_Toc309897516"/>
      <w:bookmarkStart w:id="548" w:name="_Toc13237"/>
      <w:bookmarkStart w:id="549" w:name="_Toc19952"/>
      <w:bookmarkStart w:id="550" w:name="_Toc183582232"/>
      <w:bookmarkStart w:id="551" w:name="_Toc319440143"/>
      <w:bookmarkStart w:id="552" w:name="_Toc29493"/>
      <w:bookmarkStart w:id="553" w:name="_Toc319439901"/>
      <w:bookmarkStart w:id="554" w:name="_Toc6457"/>
      <w:bookmarkStart w:id="555" w:name="_Toc29031"/>
      <w:bookmarkStart w:id="556" w:name="_Toc8915"/>
      <w:bookmarkStart w:id="557" w:name="_Toc183682369"/>
      <w:r>
        <w:rPr>
          <w:rFonts w:hint="eastAsia" w:ascii="宋体" w:hAnsi="宋体" w:eastAsia="宋体" w:cs="宋体"/>
          <w:color w:val="auto"/>
          <w:highlight w:val="none"/>
        </w:rPr>
        <w:t>开标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pStyle w:val="28"/>
        <w:numPr>
          <w:ilvl w:val="3"/>
          <w:numId w:val="14"/>
        </w:numPr>
        <w:bidi w:val="0"/>
        <w:rPr>
          <w:rFonts w:hint="eastAsia" w:ascii="宋体" w:hAnsi="宋体" w:eastAsia="宋体" w:cs="宋体"/>
          <w:color w:val="auto"/>
          <w:highlight w:val="none"/>
          <w:lang w:eastAsia="zh-CN"/>
        </w:rPr>
      </w:pPr>
      <w:bookmarkStart w:id="558" w:name="_Toc307501111"/>
      <w:bookmarkStart w:id="559" w:name="_Toc217446058"/>
      <w:bookmarkStart w:id="560" w:name="_Toc327196288"/>
      <w:bookmarkStart w:id="561" w:name="_Toc309897517"/>
      <w:bookmarkStart w:id="562" w:name="_Toc308188154"/>
      <w:bookmarkStart w:id="563" w:name="_Toc319439902"/>
      <w:bookmarkStart w:id="564" w:name="_Toc308084599"/>
      <w:bookmarkStart w:id="565" w:name="_Toc319440144"/>
      <w:bookmarkStart w:id="566" w:name="_Toc307564854"/>
      <w:r>
        <w:rPr>
          <w:rFonts w:hint="eastAsia" w:ascii="宋体" w:hAnsi="宋体" w:eastAsia="宋体" w:cs="宋体"/>
          <w:color w:val="auto"/>
          <w:highlight w:val="none"/>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r>
        <w:rPr>
          <w:rFonts w:hint="eastAsia" w:ascii="宋体" w:hAnsi="宋体" w:eastAsia="宋体" w:cs="宋体"/>
          <w:color w:val="auto"/>
          <w:highlight w:val="none"/>
          <w:lang w:eastAsia="zh-CN"/>
        </w:rPr>
        <w:t>。</w:t>
      </w:r>
    </w:p>
    <w:p>
      <w:pPr>
        <w:pStyle w:val="28"/>
        <w:numPr>
          <w:ilvl w:val="3"/>
          <w:numId w:val="14"/>
        </w:numPr>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开标活动对外公开，在保证正常开标秩序的前提下，允许除投标人及其代表之外的其他人员观摩开标活动。</w:t>
      </w:r>
      <w:r>
        <w:rPr>
          <w:rFonts w:hint="eastAsia" w:ascii="宋体" w:hAnsi="宋体" w:eastAsia="宋体" w:cs="宋体"/>
          <w:color w:val="auto"/>
          <w:highlight w:val="none"/>
          <w:lang w:val="en-US" w:eastAsia="zh-CN"/>
        </w:rPr>
        <w:t>其他人员需要参加开标活动的，须事先向采购代理机构书面申请并取得同意后方能参加，且在开标现场须服从采购代理机构的安排</w:t>
      </w:r>
      <w:r>
        <w:rPr>
          <w:rFonts w:hint="eastAsia" w:ascii="宋体" w:hAnsi="宋体" w:eastAsia="宋体" w:cs="宋体"/>
          <w:color w:val="auto"/>
          <w:highlight w:val="none"/>
          <w:lang w:eastAsia="zh-CN"/>
        </w:rPr>
        <w:t>。</w:t>
      </w:r>
    </w:p>
    <w:p>
      <w:pPr>
        <w:pStyle w:val="28"/>
        <w:numPr>
          <w:ilvl w:val="3"/>
          <w:numId w:val="14"/>
        </w:numPr>
        <w:bidi w:val="0"/>
        <w:rPr>
          <w:rFonts w:hint="eastAsia" w:ascii="宋体" w:hAnsi="宋体" w:eastAsia="宋体" w:cs="宋体"/>
          <w:color w:val="auto"/>
          <w:highlight w:val="none"/>
        </w:rPr>
      </w:pPr>
      <w:r>
        <w:rPr>
          <w:rFonts w:hint="eastAsia" w:ascii="宋体" w:hAnsi="宋体" w:eastAsia="宋体" w:cs="宋体"/>
          <w:color w:val="auto"/>
          <w:highlight w:val="none"/>
        </w:rPr>
        <w:t>开标时，可根据具体情况邀请有关监督管理部门对开标活动进行现场监督。</w:t>
      </w:r>
    </w:p>
    <w:p>
      <w:pPr>
        <w:pStyle w:val="28"/>
        <w:numPr>
          <w:ilvl w:val="3"/>
          <w:numId w:val="14"/>
        </w:numPr>
        <w:bidi w:val="0"/>
        <w:rPr>
          <w:rFonts w:hint="eastAsia" w:ascii="宋体" w:hAnsi="宋体" w:eastAsia="宋体" w:cs="宋体"/>
          <w:color w:val="auto"/>
          <w:highlight w:val="none"/>
        </w:rPr>
      </w:pPr>
      <w:r>
        <w:rPr>
          <w:rFonts w:hint="eastAsia" w:ascii="宋体" w:hAnsi="宋体" w:eastAsia="宋体" w:cs="宋体"/>
          <w:color w:val="auto"/>
          <w:highlight w:val="none"/>
        </w:rPr>
        <w:t>开标时，由投标人或者其推选的代表先检查其自己递交的投标文件的密封情况，经确认无误后，由招标工作人员将投标人单独</w:t>
      </w:r>
      <w:r>
        <w:rPr>
          <w:rFonts w:hint="eastAsia" w:ascii="宋体" w:hAnsi="宋体" w:eastAsia="宋体" w:cs="宋体"/>
          <w:color w:val="auto"/>
          <w:highlight w:val="none"/>
          <w:lang w:eastAsia="zh-CN"/>
        </w:rPr>
        <w:t>提</w:t>
      </w:r>
      <w:r>
        <w:rPr>
          <w:rFonts w:hint="eastAsia" w:ascii="宋体" w:hAnsi="宋体" w:eastAsia="宋体" w:cs="宋体"/>
          <w:color w:val="auto"/>
          <w:highlight w:val="none"/>
        </w:rPr>
        <w:t>交</w:t>
      </w:r>
      <w:r>
        <w:rPr>
          <w:rFonts w:hint="eastAsia" w:ascii="宋体" w:hAnsi="宋体" w:eastAsia="宋体" w:cs="宋体"/>
          <w:color w:val="auto"/>
          <w:highlight w:val="none"/>
          <w:lang w:eastAsia="zh-CN"/>
        </w:rPr>
        <w:t>用于开标唱标</w:t>
      </w:r>
      <w:r>
        <w:rPr>
          <w:rFonts w:hint="eastAsia" w:ascii="宋体" w:hAnsi="宋体" w:eastAsia="宋体" w:cs="宋体"/>
          <w:color w:val="auto"/>
          <w:highlight w:val="none"/>
        </w:rPr>
        <w:t>的“开标一览表”当众拆封，并由唱标人员按照招标文件规定的内容进行宣读。</w:t>
      </w:r>
    </w:p>
    <w:p>
      <w:pPr>
        <w:pStyle w:val="28"/>
        <w:numPr>
          <w:ilvl w:val="3"/>
          <w:numId w:val="14"/>
        </w:numPr>
        <w:bidi w:val="0"/>
        <w:rPr>
          <w:rFonts w:hint="eastAsia" w:ascii="宋体" w:hAnsi="宋体" w:eastAsia="宋体" w:cs="宋体"/>
          <w:color w:val="auto"/>
          <w:highlight w:val="none"/>
        </w:rPr>
      </w:pPr>
      <w:r>
        <w:rPr>
          <w:rFonts w:hint="eastAsia" w:ascii="宋体" w:hAnsi="宋体" w:eastAsia="宋体" w:cs="宋体"/>
          <w:color w:val="auto"/>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w:t>
      </w:r>
      <w:r>
        <w:rPr>
          <w:rFonts w:hint="eastAsia" w:ascii="宋体" w:hAnsi="宋体" w:eastAsia="宋体" w:cs="宋体"/>
          <w:color w:val="auto"/>
          <w:highlight w:val="none"/>
          <w:lang w:val="en-US" w:eastAsia="zh-CN"/>
        </w:rPr>
        <w:t>至</w:t>
      </w:r>
      <w:r>
        <w:rPr>
          <w:rFonts w:hint="eastAsia" w:ascii="宋体" w:hAnsi="宋体" w:eastAsia="宋体" w:cs="宋体"/>
          <w:color w:val="auto"/>
          <w:highlight w:val="none"/>
        </w:rPr>
        <w:t>开标主持人或者现场监督人员，要求开标现场记录人员予以记录，但不得干扰、阻挠开标工作的正常进行。</w:t>
      </w:r>
    </w:p>
    <w:p>
      <w:pPr>
        <w:pStyle w:val="28"/>
        <w:numPr>
          <w:ilvl w:val="3"/>
          <w:numId w:val="14"/>
        </w:numPr>
        <w:bidi w:val="0"/>
        <w:rPr>
          <w:rFonts w:hint="eastAsia" w:ascii="宋体" w:hAnsi="宋体" w:eastAsia="宋体" w:cs="宋体"/>
          <w:color w:val="auto"/>
          <w:highlight w:val="none"/>
        </w:rPr>
      </w:pPr>
      <w:r>
        <w:rPr>
          <w:rFonts w:hint="eastAsia" w:ascii="宋体" w:hAnsi="宋体" w:eastAsia="宋体" w:cs="宋体"/>
          <w:color w:val="auto"/>
          <w:highlight w:val="none"/>
        </w:rPr>
        <w:t>开标时，“开标一览表”中的大写</w:t>
      </w:r>
      <w:r>
        <w:rPr>
          <w:rFonts w:hint="eastAsia" w:cs="宋体"/>
          <w:color w:val="auto"/>
          <w:highlight w:val="none"/>
          <w:lang w:val="en-US" w:eastAsia="zh-CN"/>
        </w:rPr>
        <w:t>报价</w:t>
      </w:r>
      <w:r>
        <w:rPr>
          <w:rFonts w:hint="eastAsia" w:ascii="宋体" w:hAnsi="宋体" w:eastAsia="宋体" w:cs="宋体"/>
          <w:color w:val="auto"/>
          <w:highlight w:val="none"/>
        </w:rPr>
        <w:t>与小写</w:t>
      </w:r>
      <w:r>
        <w:rPr>
          <w:rFonts w:hint="eastAsia" w:cs="宋体"/>
          <w:color w:val="auto"/>
          <w:highlight w:val="none"/>
          <w:lang w:val="en-US" w:eastAsia="zh-CN"/>
        </w:rPr>
        <w:t>报价</w:t>
      </w:r>
      <w:r>
        <w:rPr>
          <w:rFonts w:hint="eastAsia" w:ascii="宋体" w:hAnsi="宋体" w:eastAsia="宋体" w:cs="宋体"/>
          <w:color w:val="auto"/>
          <w:highlight w:val="none"/>
        </w:rPr>
        <w:t>不一致的，以大写</w:t>
      </w:r>
      <w:r>
        <w:rPr>
          <w:rFonts w:hint="eastAsia" w:cs="宋体"/>
          <w:color w:val="auto"/>
          <w:highlight w:val="none"/>
          <w:lang w:val="en-US" w:eastAsia="zh-CN"/>
        </w:rPr>
        <w:t>报价</w:t>
      </w:r>
      <w:r>
        <w:rPr>
          <w:rFonts w:hint="eastAsia" w:ascii="宋体" w:hAnsi="宋体" w:eastAsia="宋体" w:cs="宋体"/>
          <w:color w:val="auto"/>
          <w:highlight w:val="none"/>
        </w:rPr>
        <w:t>为准。</w:t>
      </w:r>
    </w:p>
    <w:p>
      <w:pPr>
        <w:pStyle w:val="28"/>
        <w:numPr>
          <w:ilvl w:val="3"/>
          <w:numId w:val="14"/>
        </w:numPr>
        <w:bidi w:val="0"/>
        <w:rPr>
          <w:rFonts w:hint="eastAsia" w:ascii="宋体" w:hAnsi="宋体" w:eastAsia="宋体" w:cs="宋体"/>
          <w:color w:val="auto"/>
          <w:highlight w:val="none"/>
        </w:rPr>
      </w:pPr>
      <w:r>
        <w:rPr>
          <w:rFonts w:hint="eastAsia" w:ascii="宋体" w:hAnsi="宋体" w:eastAsia="宋体" w:cs="宋体"/>
          <w:color w:val="auto"/>
          <w:highlight w:val="none"/>
        </w:rPr>
        <w:t>投标文件中相关内容与“开标一览表”不一致的，以“开标一览表”为准。对不同文字文本投标文件的解释发生异议的，以中文文本为准。</w:t>
      </w:r>
    </w:p>
    <w:p>
      <w:pPr>
        <w:pStyle w:val="28"/>
        <w:numPr>
          <w:ilvl w:val="3"/>
          <w:numId w:val="14"/>
        </w:numPr>
        <w:bidi w:val="0"/>
        <w:rPr>
          <w:rFonts w:hint="eastAsia" w:ascii="宋体" w:hAnsi="宋体" w:eastAsia="宋体" w:cs="宋体"/>
          <w:color w:val="auto"/>
          <w:highlight w:val="none"/>
        </w:rPr>
      </w:pPr>
      <w:r>
        <w:rPr>
          <w:rFonts w:hint="eastAsia" w:ascii="宋体" w:hAnsi="宋体" w:eastAsia="宋体" w:cs="宋体"/>
          <w:color w:val="auto"/>
          <w:highlight w:val="none"/>
        </w:rPr>
        <w:t>所有投标唱标完毕，如投标人代表对宣读的“开标一览表”上的内容有异议的，应在获得开标会主持人同意后当场提出。如确实属于唱标人员宣读错了的，经现场监督人员核实后，当场予以更正。</w:t>
      </w:r>
    </w:p>
    <w:p>
      <w:pPr>
        <w:pStyle w:val="27"/>
        <w:numPr>
          <w:ilvl w:val="2"/>
          <w:numId w:val="13"/>
        </w:numPr>
        <w:bidi w:val="0"/>
        <w:rPr>
          <w:rFonts w:hint="eastAsia" w:ascii="宋体" w:hAnsi="宋体" w:eastAsia="宋体" w:cs="宋体"/>
          <w:color w:val="auto"/>
          <w:highlight w:val="none"/>
        </w:rPr>
      </w:pPr>
      <w:bookmarkStart w:id="567" w:name="_Toc827"/>
      <w:bookmarkStart w:id="568" w:name="_Toc24509"/>
      <w:bookmarkStart w:id="569" w:name="_Toc18256"/>
      <w:bookmarkStart w:id="570" w:name="_Toc7168"/>
      <w:bookmarkStart w:id="571" w:name="_Toc12755"/>
      <w:bookmarkStart w:id="572" w:name="_Toc26350"/>
      <w:bookmarkStart w:id="573" w:name="_Toc5097"/>
      <w:bookmarkStart w:id="574" w:name="_Toc23757"/>
      <w:bookmarkStart w:id="575" w:name="_Toc15266"/>
      <w:bookmarkStart w:id="576" w:name="_Toc17927"/>
      <w:bookmarkStart w:id="577" w:name="_Toc20885"/>
      <w:bookmarkStart w:id="578" w:name="_Toc10782"/>
      <w:r>
        <w:rPr>
          <w:rFonts w:hint="eastAsia" w:ascii="宋体" w:hAnsi="宋体" w:eastAsia="宋体" w:cs="宋体"/>
          <w:color w:val="auto"/>
          <w:highlight w:val="none"/>
        </w:rPr>
        <w:t>开标程序</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开标会主持人按照招标文件规定的开标时间宣布开标，按照规定要求主持开标会。开标将按以下程序进行：</w:t>
      </w:r>
    </w:p>
    <w:p>
      <w:pPr>
        <w:pStyle w:val="28"/>
        <w:numPr>
          <w:ilvl w:val="3"/>
          <w:numId w:val="13"/>
        </w:numPr>
        <w:bidi w:val="0"/>
        <w:rPr>
          <w:rFonts w:hint="eastAsia" w:ascii="宋体" w:hAnsi="宋体" w:eastAsia="宋体" w:cs="宋体"/>
          <w:color w:val="auto"/>
          <w:highlight w:val="none"/>
        </w:rPr>
      </w:pPr>
      <w:bookmarkStart w:id="579" w:name="_Toc13983"/>
      <w:bookmarkStart w:id="580" w:name="_Toc13447"/>
      <w:bookmarkStart w:id="581" w:name="_Toc183682375"/>
      <w:bookmarkStart w:id="582" w:name="_Toc183582238"/>
      <w:bookmarkStart w:id="583" w:name="_Toc28123"/>
      <w:bookmarkStart w:id="584" w:name="_Toc489"/>
      <w:bookmarkStart w:id="585" w:name="_Toc309897518"/>
      <w:bookmarkStart w:id="586" w:name="_Toc8800"/>
      <w:bookmarkStart w:id="587" w:name="_Toc307501112"/>
      <w:bookmarkStart w:id="588" w:name="_Toc319439903"/>
      <w:bookmarkStart w:id="589" w:name="_Toc217446063"/>
      <w:bookmarkStart w:id="590" w:name="_Toc9806"/>
      <w:bookmarkStart w:id="591" w:name="_Toc16512"/>
      <w:bookmarkStart w:id="592" w:name="_Toc13751"/>
      <w:bookmarkStart w:id="593" w:name="_Toc28481"/>
      <w:bookmarkStart w:id="594" w:name="_Toc308084600"/>
      <w:bookmarkStart w:id="595" w:name="_Toc307564855"/>
      <w:bookmarkStart w:id="596" w:name="_Toc327196289"/>
      <w:bookmarkStart w:id="597" w:name="_Toc308188155"/>
      <w:bookmarkStart w:id="598" w:name="_Toc15967"/>
      <w:bookmarkStart w:id="599" w:name="_Toc319440145"/>
      <w:r>
        <w:rPr>
          <w:rFonts w:hint="eastAsia" w:ascii="宋体" w:hAnsi="宋体" w:eastAsia="宋体" w:cs="宋体"/>
          <w:color w:val="auto"/>
          <w:highlight w:val="none"/>
        </w:rPr>
        <w:t>宣布开标会开始。当众宣布参加开标会主持人(唱标人)、会议记录人以及根据情况邀请的现场监督人等工作人员，根据“投标文件递交登记表”宣布参加投标的供应商名单。</w:t>
      </w:r>
    </w:p>
    <w:p>
      <w:pPr>
        <w:pStyle w:val="28"/>
        <w:numPr>
          <w:ilvl w:val="3"/>
          <w:numId w:val="13"/>
        </w:numPr>
        <w:bidi w:val="0"/>
        <w:rPr>
          <w:rFonts w:hint="eastAsia" w:ascii="宋体" w:hAnsi="宋体" w:eastAsia="宋体" w:cs="宋体"/>
          <w:color w:val="auto"/>
          <w:highlight w:val="none"/>
        </w:rPr>
      </w:pPr>
      <w:r>
        <w:rPr>
          <w:rFonts w:hint="eastAsia" w:ascii="宋体" w:hAnsi="宋体" w:eastAsia="宋体" w:cs="宋体"/>
          <w:color w:val="auto"/>
          <w:highlight w:val="none"/>
        </w:rPr>
        <w:t>宣布会场纪律和有关注意事项，根据投标人或者其推选的代表对投标文件密封的检查结果，当众宣布投标文件的密封情况。</w:t>
      </w:r>
    </w:p>
    <w:p>
      <w:pPr>
        <w:pStyle w:val="28"/>
        <w:numPr>
          <w:ilvl w:val="3"/>
          <w:numId w:val="13"/>
        </w:num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投标人不足3家的，不得开标。</w:t>
      </w:r>
    </w:p>
    <w:p>
      <w:pPr>
        <w:pStyle w:val="28"/>
        <w:numPr>
          <w:ilvl w:val="3"/>
          <w:numId w:val="13"/>
        </w:numPr>
        <w:bidi w:val="0"/>
        <w:rPr>
          <w:rFonts w:hint="eastAsia" w:ascii="宋体" w:hAnsi="宋体" w:eastAsia="宋体" w:cs="宋体"/>
          <w:color w:val="auto"/>
          <w:highlight w:val="none"/>
        </w:rPr>
      </w:pPr>
      <w:r>
        <w:rPr>
          <w:rFonts w:hint="eastAsia" w:ascii="宋体" w:hAnsi="宋体" w:eastAsia="宋体" w:cs="宋体"/>
          <w:color w:val="auto"/>
          <w:highlight w:val="none"/>
        </w:rPr>
        <w:t>开标唱标。主持人宣布开标后，由现场工作人员按任意顺序对单独用于开标唱标的“开标一览表”当众进行拆封，由唱标人员宣读投标人名称、投标价格(价格折扣)、或招标文件允许提供的备选投标方案和投标文件的其他主要内容。未宣读的投标价格(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28"/>
        <w:numPr>
          <w:ilvl w:val="3"/>
          <w:numId w:val="13"/>
        </w:numPr>
        <w:bidi w:val="0"/>
        <w:rPr>
          <w:rFonts w:hint="eastAsia" w:ascii="宋体" w:hAnsi="宋体" w:eastAsia="宋体" w:cs="宋体"/>
          <w:color w:val="auto"/>
          <w:highlight w:val="none"/>
        </w:rPr>
      </w:pPr>
      <w:r>
        <w:rPr>
          <w:rFonts w:hint="eastAsia" w:ascii="宋体" w:hAnsi="宋体" w:eastAsia="宋体" w:cs="宋体"/>
          <w:color w:val="auto"/>
          <w:highlight w:val="none"/>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28"/>
        <w:numPr>
          <w:ilvl w:val="3"/>
          <w:numId w:val="13"/>
        </w:numPr>
        <w:bidi w:val="0"/>
        <w:rPr>
          <w:rFonts w:hint="eastAsia" w:ascii="宋体" w:hAnsi="宋体" w:eastAsia="宋体" w:cs="宋体"/>
          <w:color w:val="auto"/>
          <w:highlight w:val="none"/>
        </w:rPr>
      </w:pPr>
      <w:r>
        <w:rPr>
          <w:rFonts w:hint="eastAsia" w:ascii="宋体" w:hAnsi="宋体" w:eastAsia="宋体" w:cs="宋体"/>
          <w:color w:val="auto"/>
          <w:highlight w:val="none"/>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w:t>
      </w:r>
      <w:r>
        <w:rPr>
          <w:rFonts w:hint="eastAsia" w:ascii="宋体" w:hAnsi="宋体" w:eastAsia="宋体" w:cs="宋体"/>
          <w:color w:val="auto"/>
          <w:highlight w:val="none"/>
          <w:lang w:eastAsia="zh-CN"/>
        </w:rPr>
        <w:t>“四川政府采购网”</w:t>
      </w:r>
      <w:r>
        <w:rPr>
          <w:rFonts w:hint="eastAsia" w:ascii="宋体" w:hAnsi="宋体" w:eastAsia="宋体" w:cs="宋体"/>
          <w:color w:val="auto"/>
          <w:highlight w:val="none"/>
        </w:rPr>
        <w:t>查询评标结果。</w:t>
      </w:r>
    </w:p>
    <w:bookmarkEnd w:id="579"/>
    <w:bookmarkEnd w:id="580"/>
    <w:p>
      <w:pPr>
        <w:pStyle w:val="27"/>
        <w:bidi w:val="0"/>
        <w:rPr>
          <w:rFonts w:hint="eastAsia" w:ascii="宋体" w:hAnsi="宋体" w:eastAsia="宋体" w:cs="宋体"/>
          <w:color w:val="auto"/>
          <w:highlight w:val="none"/>
          <w:lang w:val="en-US" w:eastAsia="zh-CN"/>
        </w:rPr>
      </w:pPr>
      <w:bookmarkStart w:id="600" w:name="_Toc2297"/>
      <w:bookmarkStart w:id="601" w:name="_Toc128"/>
      <w:bookmarkStart w:id="602" w:name="_Toc6332"/>
      <w:r>
        <w:rPr>
          <w:rFonts w:hint="eastAsia" w:ascii="宋体" w:hAnsi="宋体" w:eastAsia="宋体" w:cs="宋体"/>
          <w:color w:val="auto"/>
          <w:highlight w:val="none"/>
          <w:lang w:val="en-US" w:eastAsia="zh-CN"/>
        </w:rPr>
        <w:t>开评标过程存档</w:t>
      </w:r>
      <w:bookmarkEnd w:id="600"/>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开标和评标过程进行全过程电子监控，并将电子监控资料存储介质留存归档。</w:t>
      </w:r>
    </w:p>
    <w:p>
      <w:pPr>
        <w:pStyle w:val="27"/>
        <w:bidi w:val="0"/>
        <w:rPr>
          <w:rFonts w:hint="eastAsia" w:ascii="宋体" w:hAnsi="宋体" w:eastAsia="宋体" w:cs="宋体"/>
          <w:color w:val="auto"/>
          <w:highlight w:val="none"/>
          <w:lang w:val="en-US" w:eastAsia="zh-CN"/>
        </w:rPr>
      </w:pPr>
      <w:bookmarkStart w:id="603" w:name="_Toc8943"/>
      <w:bookmarkStart w:id="604" w:name="_Toc32453"/>
      <w:r>
        <w:rPr>
          <w:rFonts w:hint="eastAsia" w:ascii="宋体" w:hAnsi="宋体" w:eastAsia="宋体" w:cs="宋体"/>
          <w:color w:val="auto"/>
          <w:highlight w:val="none"/>
          <w:lang w:val="en-US" w:eastAsia="zh-CN"/>
        </w:rPr>
        <w:t>中标结果</w:t>
      </w:r>
      <w:bookmarkEnd w:id="603"/>
    </w:p>
    <w:p>
      <w:pPr>
        <w:pStyle w:val="28"/>
        <w:bidi w:val="0"/>
        <w:rPr>
          <w:rFonts w:hint="eastAsia" w:ascii="宋体" w:hAnsi="宋体" w:eastAsia="宋体" w:cs="宋体"/>
          <w:color w:val="auto"/>
          <w:highlight w:val="none"/>
          <w:lang w:val="en-US" w:eastAsia="zh-CN"/>
        </w:rPr>
      </w:pPr>
      <w:bookmarkStart w:id="605" w:name="_Toc29809"/>
      <w:r>
        <w:rPr>
          <w:rFonts w:hint="eastAsia" w:ascii="宋体" w:hAnsi="宋体" w:eastAsia="宋体" w:cs="宋体"/>
          <w:color w:val="auto"/>
          <w:highlight w:val="none"/>
          <w:lang w:val="en-US" w:eastAsia="zh-CN"/>
        </w:rPr>
        <w:t>采购人确定中标供应商后，将及时书面通知采购代理机构，采购代理机构在中标供应商确定后2个工作日内，在“四川政府采购网”公告中标结果，同时采购代理机构将中标通知书快递至中标人。</w:t>
      </w:r>
      <w:bookmarkEnd w:id="605"/>
    </w:p>
    <w:p>
      <w:pPr>
        <w:pStyle w:val="28"/>
        <w:bidi w:val="0"/>
        <w:rPr>
          <w:rFonts w:hint="eastAsia" w:ascii="宋体" w:hAnsi="宋体" w:eastAsia="宋体" w:cs="宋体"/>
          <w:color w:val="auto"/>
          <w:highlight w:val="none"/>
          <w:lang w:val="en-US" w:eastAsia="zh-CN"/>
        </w:rPr>
      </w:pPr>
      <w:bookmarkStart w:id="606" w:name="_Toc25350"/>
      <w:r>
        <w:rPr>
          <w:rFonts w:hint="eastAsia" w:ascii="宋体" w:hAnsi="宋体" w:eastAsia="宋体" w:cs="宋体"/>
          <w:color w:val="auto"/>
          <w:highlight w:val="none"/>
          <w:lang w:val="en-US" w:eastAsia="zh-CN"/>
        </w:rPr>
        <w:t>采购项目需要交纳履约保证金的，中标供应商应当按照规定和要求及时向采购人交纳。</w:t>
      </w:r>
      <w:bookmarkEnd w:id="606"/>
    </w:p>
    <w:p>
      <w:pPr>
        <w:pStyle w:val="27"/>
        <w:bidi w:val="0"/>
        <w:rPr>
          <w:rFonts w:hint="eastAsia" w:ascii="宋体" w:hAnsi="宋体" w:eastAsia="宋体" w:cs="宋体"/>
          <w:color w:val="auto"/>
          <w:highlight w:val="none"/>
        </w:rPr>
      </w:pPr>
      <w:bookmarkStart w:id="607" w:name="_Toc12300"/>
      <w:r>
        <w:rPr>
          <w:rFonts w:hint="eastAsia" w:ascii="宋体" w:hAnsi="宋体" w:eastAsia="宋体" w:cs="宋体"/>
          <w:color w:val="auto"/>
          <w:highlight w:val="none"/>
        </w:rPr>
        <w:t>中标通知</w:t>
      </w:r>
      <w:bookmarkEnd w:id="581"/>
      <w:bookmarkEnd w:id="582"/>
      <w:r>
        <w:rPr>
          <w:rFonts w:hint="eastAsia" w:ascii="宋体" w:hAnsi="宋体" w:eastAsia="宋体" w:cs="宋体"/>
          <w:color w:val="auto"/>
          <w:highlight w:val="none"/>
        </w:rPr>
        <w:t>书</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1"/>
      <w:bookmarkEnd w:id="602"/>
      <w:bookmarkEnd w:id="604"/>
      <w:bookmarkEnd w:id="607"/>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中标通知书为签订政府采购合同的依据，是合同的有效组成部分。</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中标通知书对采购人和中标人均具有法律效力。中标通知书发出后，采购人改变中标结果，或者中标人无正当理由放弃中标的，应当承担相应的法律责任。</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46"/>
        <w:bidi w:val="0"/>
        <w:rPr>
          <w:rFonts w:hint="eastAsia" w:ascii="宋体" w:hAnsi="宋体" w:eastAsia="宋体" w:cs="宋体"/>
          <w:color w:val="auto"/>
          <w:highlight w:val="none"/>
        </w:rPr>
      </w:pPr>
      <w:bookmarkStart w:id="608" w:name="_Toc13383"/>
      <w:bookmarkStart w:id="609" w:name="_Toc10354"/>
      <w:bookmarkStart w:id="610" w:name="_Toc30422"/>
      <w:bookmarkStart w:id="611" w:name="_Toc327196290"/>
      <w:bookmarkStart w:id="612" w:name="_Toc5222"/>
      <w:bookmarkStart w:id="613" w:name="_Toc2685"/>
      <w:bookmarkStart w:id="614" w:name="_Toc217446064"/>
      <w:bookmarkStart w:id="615" w:name="_Toc183682377"/>
      <w:bookmarkStart w:id="616" w:name="_Toc183582240"/>
      <w:r>
        <w:rPr>
          <w:rFonts w:hint="eastAsia" w:ascii="宋体" w:hAnsi="宋体" w:eastAsia="宋体" w:cs="宋体"/>
          <w:color w:val="auto"/>
          <w:highlight w:val="none"/>
        </w:rPr>
        <w:t>签订及履行合同和验收</w:t>
      </w:r>
      <w:bookmarkEnd w:id="608"/>
      <w:bookmarkEnd w:id="609"/>
      <w:bookmarkEnd w:id="610"/>
      <w:bookmarkEnd w:id="611"/>
      <w:bookmarkEnd w:id="612"/>
      <w:bookmarkEnd w:id="613"/>
      <w:bookmarkEnd w:id="614"/>
    </w:p>
    <w:p>
      <w:pPr>
        <w:pStyle w:val="27"/>
        <w:numPr>
          <w:ilvl w:val="2"/>
          <w:numId w:val="15"/>
        </w:numPr>
        <w:bidi w:val="0"/>
        <w:rPr>
          <w:rFonts w:hint="eastAsia" w:ascii="宋体" w:hAnsi="宋体" w:eastAsia="宋体" w:cs="宋体"/>
          <w:color w:val="auto"/>
          <w:highlight w:val="none"/>
        </w:rPr>
      </w:pPr>
      <w:bookmarkStart w:id="617" w:name="_Toc308084602"/>
      <w:bookmarkStart w:id="618" w:name="_Toc16835"/>
      <w:bookmarkStart w:id="619" w:name="_Toc27989"/>
      <w:bookmarkStart w:id="620" w:name="_Toc217446065"/>
      <w:bookmarkStart w:id="621" w:name="_Toc3130"/>
      <w:bookmarkStart w:id="622" w:name="_Toc307501114"/>
      <w:bookmarkStart w:id="623" w:name="_Toc319439905"/>
      <w:bookmarkStart w:id="624" w:name="_Toc27214"/>
      <w:bookmarkStart w:id="625" w:name="_Toc307564857"/>
      <w:bookmarkStart w:id="626" w:name="_Toc319440147"/>
      <w:bookmarkStart w:id="627" w:name="_Toc5659"/>
      <w:bookmarkStart w:id="628" w:name="_Toc24949"/>
      <w:bookmarkStart w:id="629" w:name="_Toc4460"/>
      <w:bookmarkStart w:id="630" w:name="_Toc25992"/>
      <w:bookmarkStart w:id="631" w:name="_Toc515"/>
      <w:bookmarkStart w:id="632" w:name="_Toc9464"/>
      <w:bookmarkStart w:id="633" w:name="_Toc327196291"/>
      <w:bookmarkStart w:id="634" w:name="_Toc20427"/>
      <w:bookmarkStart w:id="635" w:name="_Toc308188157"/>
      <w:bookmarkStart w:id="636" w:name="_Toc309897520"/>
      <w:bookmarkStart w:id="637" w:name="_Toc11828"/>
      <w:r>
        <w:rPr>
          <w:rFonts w:hint="eastAsia" w:ascii="宋体" w:hAnsi="宋体" w:eastAsia="宋体" w:cs="宋体"/>
          <w:color w:val="auto"/>
          <w:highlight w:val="none"/>
        </w:rPr>
        <w:t>签订合同</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pPr>
        <w:pStyle w:val="28"/>
        <w:bidi w:val="0"/>
        <w:rPr>
          <w:rFonts w:hint="eastAsia" w:ascii="宋体" w:hAnsi="宋体" w:eastAsia="宋体" w:cs="宋体"/>
          <w:color w:val="auto"/>
          <w:highlight w:val="none"/>
        </w:rPr>
      </w:pPr>
      <w:bookmarkStart w:id="638" w:name="_Toc217446066"/>
      <w:bookmarkStart w:id="639" w:name="_Toc308188158"/>
      <w:bookmarkStart w:id="640" w:name="_Toc327196292"/>
      <w:bookmarkStart w:id="641" w:name="_Toc12852"/>
      <w:bookmarkStart w:id="642" w:name="_Toc31670"/>
      <w:bookmarkStart w:id="643" w:name="_Toc307501115"/>
      <w:bookmarkStart w:id="644" w:name="_Toc308084603"/>
      <w:bookmarkStart w:id="645" w:name="_Toc309897521"/>
      <w:bookmarkStart w:id="646" w:name="_Toc20139"/>
      <w:bookmarkStart w:id="647" w:name="_Toc31397"/>
      <w:bookmarkStart w:id="648" w:name="_Toc12489"/>
      <w:bookmarkStart w:id="649" w:name="_Toc319439906"/>
      <w:bookmarkStart w:id="650" w:name="_Toc307564858"/>
      <w:bookmarkStart w:id="651" w:name="_Toc3758"/>
      <w:bookmarkStart w:id="652" w:name="_Toc319440148"/>
      <w:bookmarkStart w:id="653" w:name="_Toc25756"/>
      <w:bookmarkStart w:id="654" w:name="_Toc24196"/>
      <w:bookmarkStart w:id="655" w:name="_Toc29795"/>
      <w:bookmarkStart w:id="656" w:name="_Toc26000"/>
      <w:r>
        <w:rPr>
          <w:rFonts w:hint="eastAsia" w:ascii="宋体" w:hAnsi="宋体" w:eastAsia="宋体" w:cs="宋体"/>
          <w:color w:val="auto"/>
          <w:highlight w:val="none"/>
        </w:rPr>
        <w:t>中标人在收到采购代理机构发出的《中标通知书》后，应在</w:t>
      </w:r>
      <w:r>
        <w:rPr>
          <w:rFonts w:hint="eastAsia" w:ascii="宋体" w:hAnsi="宋体" w:eastAsia="宋体" w:cs="宋体"/>
          <w:color w:val="auto"/>
          <w:highlight w:val="none"/>
          <w:lang w:val="en-US" w:eastAsia="zh-CN"/>
        </w:rPr>
        <w:t>中标通知书发出之日起30日</w:t>
      </w:r>
      <w:r>
        <w:rPr>
          <w:rFonts w:hint="eastAsia" w:ascii="宋体" w:hAnsi="宋体" w:eastAsia="宋体" w:cs="宋体"/>
          <w:color w:val="auto"/>
          <w:highlight w:val="none"/>
        </w:rPr>
        <w:t>内与采购人签订采购合同。由于中标人的原因逾期未与采购人签订采购合同的，将视为放弃中标，取消其中标资格并将按相关规定进行处理。</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政府采购合同应当包括采购人与中标人的名称和住所、标的、数量、质量、价款或者报酬、履行期限及地点和方式、验收要求、违约责任、解决争议的方法等内容。</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本项目的招标</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rPr>
        <w:t>供应商提交的</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评审</w:t>
      </w:r>
      <w:r>
        <w:rPr>
          <w:rFonts w:hint="eastAsia" w:ascii="宋体" w:hAnsi="宋体" w:eastAsia="宋体" w:cs="宋体"/>
          <w:color w:val="auto"/>
          <w:highlight w:val="none"/>
        </w:rPr>
        <w:t>中的</w:t>
      </w:r>
      <w:r>
        <w:rPr>
          <w:rFonts w:hint="eastAsia" w:ascii="宋体" w:hAnsi="宋体" w:eastAsia="宋体" w:cs="宋体"/>
          <w:color w:val="auto"/>
          <w:highlight w:val="none"/>
          <w:lang w:val="en-US" w:eastAsia="zh-CN"/>
        </w:rPr>
        <w:t>澄清</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rPr>
        <w:t>通知书等</w:t>
      </w:r>
      <w:r>
        <w:rPr>
          <w:rFonts w:hint="eastAsia" w:ascii="宋体" w:hAnsi="宋体" w:eastAsia="宋体" w:cs="宋体"/>
          <w:color w:val="auto"/>
          <w:highlight w:val="none"/>
          <w:lang w:val="en-US" w:eastAsia="zh-CN"/>
        </w:rPr>
        <w:t>文件均具</w:t>
      </w:r>
      <w:r>
        <w:rPr>
          <w:rFonts w:hint="eastAsia" w:ascii="宋体" w:hAnsi="宋体" w:eastAsia="宋体" w:cs="宋体"/>
          <w:color w:val="auto"/>
          <w:highlight w:val="none"/>
        </w:rPr>
        <w:t>有法律约束力</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属于</w:t>
      </w:r>
      <w:r>
        <w:rPr>
          <w:rFonts w:hint="eastAsia" w:ascii="宋体" w:hAnsi="宋体" w:eastAsia="宋体" w:cs="宋体"/>
          <w:color w:val="auto"/>
          <w:highlight w:val="none"/>
        </w:rPr>
        <w:t>合同组成</w:t>
      </w:r>
      <w:r>
        <w:rPr>
          <w:rFonts w:hint="eastAsia" w:ascii="宋体" w:hAnsi="宋体" w:eastAsia="宋体" w:cs="宋体"/>
          <w:color w:val="auto"/>
          <w:highlight w:val="none"/>
          <w:lang w:val="en-US" w:eastAsia="zh-CN"/>
        </w:rPr>
        <w:t>部分。</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中标人因不可抗力原因不能履行采购合同或放弃中标的，采购人可以与排在中标人之后第一位的中标候选人签订采购合同，以此类推。</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中标人在合同签订之后2个工作日内，将签订的合同(一份)送采购代理机构进行合同</w:t>
      </w:r>
      <w:r>
        <w:rPr>
          <w:rFonts w:hint="eastAsia" w:ascii="宋体" w:hAnsi="宋体" w:eastAsia="宋体" w:cs="宋体"/>
          <w:color w:val="auto"/>
          <w:highlight w:val="none"/>
          <w:lang w:val="en-US" w:eastAsia="zh-CN"/>
        </w:rPr>
        <w:t>存档</w:t>
      </w:r>
      <w:r>
        <w:rPr>
          <w:rFonts w:hint="eastAsia" w:ascii="宋体" w:hAnsi="宋体" w:eastAsia="宋体" w:cs="宋体"/>
          <w:color w:val="auto"/>
          <w:highlight w:val="none"/>
        </w:rPr>
        <w:t>。</w:t>
      </w:r>
    </w:p>
    <w:p>
      <w:pPr>
        <w:pStyle w:val="27"/>
        <w:numPr>
          <w:ilvl w:val="2"/>
          <w:numId w:val="15"/>
        </w:numPr>
        <w:bidi w:val="0"/>
        <w:rPr>
          <w:rFonts w:hint="eastAsia" w:ascii="宋体" w:hAnsi="宋体" w:eastAsia="宋体" w:cs="宋体"/>
          <w:color w:val="auto"/>
          <w:highlight w:val="none"/>
          <w:lang w:val="en-US"/>
        </w:rPr>
      </w:pPr>
      <w:bookmarkStart w:id="657" w:name="_Toc12864"/>
      <w:bookmarkStart w:id="658" w:name="_Toc3689"/>
      <w:r>
        <w:rPr>
          <w:rFonts w:hint="eastAsia" w:ascii="宋体" w:hAnsi="宋体" w:eastAsia="宋体" w:cs="宋体"/>
          <w:color w:val="auto"/>
          <w:highlight w:val="none"/>
        </w:rPr>
        <w:t>合同</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Pr>
          <w:rFonts w:hint="eastAsia" w:ascii="宋体" w:hAnsi="宋体" w:eastAsia="宋体" w:cs="宋体"/>
          <w:color w:val="auto"/>
          <w:highlight w:val="none"/>
        </w:rPr>
        <w:t>分包</w:t>
      </w:r>
      <w:bookmarkEnd w:id="653"/>
      <w:bookmarkEnd w:id="654"/>
      <w:r>
        <w:rPr>
          <w:rFonts w:hint="eastAsia" w:ascii="宋体" w:hAnsi="宋体" w:eastAsia="宋体" w:cs="宋体"/>
          <w:color w:val="auto"/>
          <w:highlight w:val="none"/>
          <w:lang w:val="en-US" w:eastAsia="zh-CN"/>
        </w:rPr>
        <w:t>(实质性要求)</w:t>
      </w:r>
      <w:bookmarkEnd w:id="655"/>
      <w:bookmarkEnd w:id="656"/>
      <w:bookmarkEnd w:id="657"/>
      <w:bookmarkEnd w:id="658"/>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本项目不允许合同分包。</w:t>
      </w:r>
    </w:p>
    <w:p>
      <w:pPr>
        <w:pStyle w:val="27"/>
        <w:numPr>
          <w:ilvl w:val="2"/>
          <w:numId w:val="15"/>
        </w:numPr>
        <w:bidi w:val="0"/>
        <w:rPr>
          <w:rFonts w:hint="eastAsia" w:ascii="宋体" w:hAnsi="宋体" w:eastAsia="宋体" w:cs="宋体"/>
          <w:color w:val="auto"/>
          <w:highlight w:val="none"/>
        </w:rPr>
      </w:pPr>
      <w:bookmarkStart w:id="659" w:name="_Toc29526"/>
      <w:bookmarkStart w:id="660" w:name="_Toc5242"/>
      <w:bookmarkStart w:id="661" w:name="_Toc7772"/>
      <w:bookmarkStart w:id="662" w:name="_Toc28937"/>
      <w:bookmarkStart w:id="663" w:name="_Toc319439907"/>
      <w:bookmarkStart w:id="664" w:name="_Toc308084604"/>
      <w:bookmarkStart w:id="665" w:name="_Toc217446067"/>
      <w:bookmarkStart w:id="666" w:name="_Toc30827"/>
      <w:bookmarkStart w:id="667" w:name="_Toc29332"/>
      <w:bookmarkStart w:id="668" w:name="_Toc29842"/>
      <w:bookmarkStart w:id="669" w:name="_Toc319440149"/>
      <w:bookmarkStart w:id="670" w:name="_Toc15644"/>
      <w:bookmarkStart w:id="671" w:name="_Toc307501116"/>
      <w:bookmarkStart w:id="672" w:name="_Toc327196293"/>
      <w:bookmarkStart w:id="673" w:name="_Toc308188159"/>
      <w:bookmarkStart w:id="674" w:name="_Toc307564859"/>
      <w:bookmarkStart w:id="675" w:name="_Toc30954"/>
      <w:bookmarkStart w:id="676" w:name="_Toc19999"/>
      <w:bookmarkStart w:id="677" w:name="_Toc309897522"/>
      <w:bookmarkStart w:id="678" w:name="_Toc29552"/>
      <w:bookmarkStart w:id="679" w:name="_Toc16143"/>
      <w:r>
        <w:rPr>
          <w:rFonts w:hint="eastAsia" w:ascii="宋体" w:hAnsi="宋体" w:eastAsia="宋体" w:cs="宋体"/>
          <w:color w:val="auto"/>
          <w:highlight w:val="none"/>
        </w:rPr>
        <w:t>合同转包</w:t>
      </w:r>
      <w:r>
        <w:rPr>
          <w:rFonts w:hint="eastAsia" w:ascii="宋体" w:hAnsi="宋体" w:eastAsia="宋体" w:cs="宋体"/>
          <w:color w:val="auto"/>
          <w:highlight w:val="none"/>
          <w:lang w:val="en-US" w:eastAsia="zh-CN"/>
        </w:rPr>
        <w:t>(实质性要求)</w:t>
      </w:r>
      <w:bookmarkEnd w:id="659"/>
      <w:bookmarkEnd w:id="660"/>
      <w:bookmarkEnd w:id="661"/>
      <w:bookmarkEnd w:id="662"/>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中标人转包的，视同拒绝履行政府采购合同义务，将依法追究法律责任。</w:t>
      </w:r>
    </w:p>
    <w:p>
      <w:pPr>
        <w:pStyle w:val="27"/>
        <w:numPr>
          <w:ilvl w:val="2"/>
          <w:numId w:val="15"/>
        </w:numPr>
        <w:bidi w:val="0"/>
        <w:rPr>
          <w:rFonts w:hint="eastAsia" w:ascii="宋体" w:hAnsi="宋体" w:eastAsia="宋体" w:cs="宋体"/>
          <w:color w:val="auto"/>
          <w:highlight w:val="none"/>
        </w:rPr>
      </w:pPr>
      <w:bookmarkStart w:id="680" w:name="_Toc12603"/>
      <w:bookmarkStart w:id="681" w:name="_Toc11992"/>
      <w:bookmarkStart w:id="682" w:name="_Toc9592"/>
      <w:bookmarkStart w:id="683" w:name="_Toc28799"/>
      <w:r>
        <w:rPr>
          <w:rFonts w:hint="eastAsia" w:ascii="宋体" w:hAnsi="宋体" w:eastAsia="宋体" w:cs="宋体"/>
          <w:color w:val="auto"/>
          <w:highlight w:val="none"/>
        </w:rPr>
        <w:t>补充合同</w:t>
      </w:r>
      <w:bookmarkEnd w:id="680"/>
      <w:bookmarkEnd w:id="681"/>
      <w:bookmarkEnd w:id="682"/>
      <w:bookmarkEnd w:id="683"/>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采购合同履行过程中，采购人需要追加与合同标的相同的货物或者服务的，在不改变合同其他条款的前提下，可以与</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Pr>
        <w:pStyle w:val="27"/>
        <w:numPr>
          <w:ilvl w:val="2"/>
          <w:numId w:val="15"/>
        </w:numPr>
        <w:bidi w:val="0"/>
        <w:rPr>
          <w:rFonts w:hint="eastAsia" w:ascii="宋体" w:hAnsi="宋体" w:eastAsia="宋体" w:cs="宋体"/>
          <w:color w:val="auto"/>
          <w:highlight w:val="none"/>
        </w:rPr>
      </w:pPr>
      <w:bookmarkStart w:id="684" w:name="_Toc30991"/>
      <w:bookmarkStart w:id="685" w:name="_Toc308164812"/>
      <w:bookmarkStart w:id="686" w:name="_Toc24147"/>
      <w:bookmarkStart w:id="687" w:name="_Toc24237"/>
      <w:bookmarkStart w:id="688" w:name="_Toc31704"/>
      <w:bookmarkStart w:id="689" w:name="_Toc308084605"/>
      <w:bookmarkStart w:id="690" w:name="_Toc16034"/>
      <w:bookmarkStart w:id="691" w:name="_Toc27686"/>
      <w:bookmarkStart w:id="692" w:name="_Toc308188160"/>
      <w:bookmarkStart w:id="693" w:name="_Toc22746"/>
      <w:bookmarkStart w:id="694" w:name="_Toc319440150"/>
      <w:bookmarkStart w:id="695" w:name="_Toc309897523"/>
      <w:bookmarkStart w:id="696" w:name="_Toc27331"/>
      <w:bookmarkStart w:id="697" w:name="_Toc28404"/>
      <w:bookmarkStart w:id="698" w:name="_Toc217446068"/>
      <w:bookmarkStart w:id="699" w:name="_Toc11533"/>
      <w:bookmarkStart w:id="700" w:name="_Toc327196294"/>
      <w:bookmarkStart w:id="701" w:name="_Toc307501117"/>
      <w:bookmarkStart w:id="702" w:name="_Toc319439908"/>
      <w:bookmarkStart w:id="703" w:name="_Toc19537"/>
      <w:bookmarkStart w:id="704" w:name="_Toc30856"/>
      <w:bookmarkStart w:id="705" w:name="_Toc307564860"/>
      <w:r>
        <w:rPr>
          <w:rFonts w:hint="eastAsia" w:ascii="宋体" w:hAnsi="宋体" w:eastAsia="宋体" w:cs="宋体"/>
          <w:color w:val="auto"/>
          <w:highlight w:val="none"/>
        </w:rPr>
        <w:t>合同公告</w:t>
      </w:r>
      <w:r>
        <w:rPr>
          <w:rFonts w:hint="eastAsia" w:ascii="宋体" w:hAnsi="宋体" w:eastAsia="宋体" w:cs="宋体"/>
          <w:color w:val="auto"/>
          <w:highlight w:val="none"/>
          <w:lang w:val="en-US" w:eastAsia="zh-CN"/>
        </w:rPr>
        <w:t>备案</w:t>
      </w:r>
      <w:bookmarkEnd w:id="684"/>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采购人应当自政府采购合同签订(双方当事人均已签字盖章)之日起2个工作日内，将政府采购合同在省级以上人民政府财政部门指定的媒体</w:t>
      </w:r>
      <w:r>
        <w:rPr>
          <w:rFonts w:hint="eastAsia" w:ascii="宋体" w:hAnsi="宋体" w:eastAsia="宋体" w:cs="宋体"/>
          <w:color w:val="auto"/>
          <w:highlight w:val="none"/>
          <w:lang w:eastAsia="zh-CN"/>
        </w:rPr>
        <w:t>“四川政府采购网”</w:t>
      </w:r>
      <w:r>
        <w:rPr>
          <w:rFonts w:hint="eastAsia" w:ascii="宋体" w:hAnsi="宋体" w:eastAsia="宋体" w:cs="宋体"/>
          <w:color w:val="auto"/>
          <w:highlight w:val="none"/>
        </w:rPr>
        <w:t>公告，但政府采购合同中涉及国家秘密、商业秘密的内容除外。</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采购人应当将政府采购合同副本自签订</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双方当事人均已签字盖章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之日起七个工作日内通过</w:t>
      </w:r>
      <w:r>
        <w:rPr>
          <w:rFonts w:hint="eastAsia" w:ascii="宋体" w:hAnsi="宋体" w:eastAsia="宋体" w:cs="宋体"/>
          <w:color w:val="auto"/>
          <w:highlight w:val="none"/>
          <w:lang w:eastAsia="zh-CN"/>
        </w:rPr>
        <w:t>“四川政府采购网”</w:t>
      </w:r>
      <w:r>
        <w:rPr>
          <w:rFonts w:hint="eastAsia" w:ascii="宋体" w:hAnsi="宋体" w:eastAsia="宋体" w:cs="宋体"/>
          <w:color w:val="auto"/>
          <w:highlight w:val="none"/>
        </w:rPr>
        <w:t>报同级财政部门备案</w:t>
      </w:r>
      <w:r>
        <w:rPr>
          <w:rFonts w:hint="eastAsia" w:ascii="宋体" w:hAnsi="宋体" w:eastAsia="宋体" w:cs="宋体"/>
          <w:color w:val="auto"/>
          <w:highlight w:val="none"/>
          <w:lang w:eastAsia="zh-CN"/>
        </w:rPr>
        <w:t>。</w:t>
      </w:r>
    </w:p>
    <w:p>
      <w:pPr>
        <w:pStyle w:val="27"/>
        <w:numPr>
          <w:ilvl w:val="2"/>
          <w:numId w:val="15"/>
        </w:numPr>
        <w:bidi w:val="0"/>
        <w:rPr>
          <w:rFonts w:hint="eastAsia" w:ascii="宋体" w:hAnsi="宋体" w:eastAsia="宋体" w:cs="宋体"/>
          <w:color w:val="auto"/>
          <w:highlight w:val="none"/>
        </w:rPr>
      </w:pPr>
      <w:bookmarkStart w:id="706" w:name="_Toc5024"/>
      <w:r>
        <w:rPr>
          <w:rFonts w:hint="eastAsia" w:ascii="宋体" w:hAnsi="宋体" w:eastAsia="宋体" w:cs="宋体"/>
          <w:color w:val="auto"/>
          <w:highlight w:val="none"/>
        </w:rPr>
        <w:t>履约保证金</w:t>
      </w:r>
      <w:bookmarkEnd w:id="685"/>
      <w:r>
        <w:rPr>
          <w:rFonts w:hint="eastAsia" w:ascii="宋体" w:hAnsi="宋体" w:eastAsia="宋体" w:cs="宋体"/>
          <w:color w:val="auto"/>
          <w:highlight w:val="none"/>
          <w:lang w:val="en-US" w:eastAsia="zh-CN"/>
        </w:rPr>
        <w:t>(实质性要求)</w:t>
      </w:r>
      <w:bookmarkEnd w:id="686"/>
      <w:bookmarkEnd w:id="687"/>
      <w:bookmarkEnd w:id="688"/>
      <w:bookmarkEnd w:id="706"/>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中标人应在合同签订之前交纳招标文件规定数额的履约保证金。</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如果中标人在规定的合同签订时间内，</w:t>
      </w:r>
      <w:r>
        <w:rPr>
          <w:rFonts w:hint="eastAsia" w:ascii="宋体" w:hAnsi="宋体" w:eastAsia="宋体" w:cs="宋体"/>
          <w:color w:val="auto"/>
          <w:highlight w:val="none"/>
          <w:lang w:val="en-US" w:eastAsia="zh-CN"/>
        </w:rPr>
        <w:t>未</w:t>
      </w:r>
      <w:r>
        <w:rPr>
          <w:rFonts w:hint="eastAsia" w:ascii="宋体" w:hAnsi="宋体" w:eastAsia="宋体" w:cs="宋体"/>
          <w:color w:val="auto"/>
          <w:highlight w:val="none"/>
        </w:rPr>
        <w:t>按照招标文件的规定交纳履约保证金，且又无正当理由的，将视为放弃中标。</w:t>
      </w:r>
    </w:p>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Pr>
        <w:pStyle w:val="27"/>
        <w:numPr>
          <w:ilvl w:val="2"/>
          <w:numId w:val="15"/>
        </w:numPr>
        <w:bidi w:val="0"/>
        <w:rPr>
          <w:rFonts w:hint="eastAsia" w:ascii="宋体" w:hAnsi="宋体" w:eastAsia="宋体" w:cs="宋体"/>
          <w:color w:val="auto"/>
          <w:highlight w:val="none"/>
        </w:rPr>
      </w:pPr>
      <w:bookmarkStart w:id="707" w:name="_Toc13194"/>
      <w:bookmarkStart w:id="708" w:name="_Toc29503"/>
      <w:bookmarkStart w:id="709" w:name="_Toc21406"/>
      <w:bookmarkStart w:id="710" w:name="_Toc15310"/>
      <w:bookmarkStart w:id="711" w:name="_Toc327196296"/>
      <w:bookmarkStart w:id="712" w:name="_Toc27872"/>
      <w:bookmarkStart w:id="713" w:name="_Toc5754"/>
      <w:bookmarkStart w:id="714" w:name="_Toc309897525"/>
      <w:bookmarkStart w:id="715" w:name="_Toc15219"/>
      <w:bookmarkStart w:id="716" w:name="_Toc308188162"/>
      <w:bookmarkStart w:id="717" w:name="_Toc9815"/>
      <w:bookmarkStart w:id="718" w:name="_Toc307564862"/>
      <w:bookmarkStart w:id="719" w:name="_Toc27114"/>
      <w:bookmarkStart w:id="720" w:name="_Toc319439910"/>
      <w:bookmarkStart w:id="721" w:name="_Toc9916"/>
      <w:bookmarkStart w:id="722" w:name="_Toc217446070"/>
      <w:bookmarkStart w:id="723" w:name="_Toc18547"/>
      <w:bookmarkStart w:id="724" w:name="_Toc17018"/>
      <w:bookmarkStart w:id="725" w:name="_Toc319440152"/>
      <w:bookmarkStart w:id="726" w:name="_Toc307501119"/>
      <w:bookmarkStart w:id="727" w:name="_Toc308084607"/>
      <w:r>
        <w:rPr>
          <w:rFonts w:hint="eastAsia" w:ascii="宋体" w:hAnsi="宋体" w:eastAsia="宋体" w:cs="宋体"/>
          <w:color w:val="auto"/>
          <w:highlight w:val="none"/>
        </w:rPr>
        <w:t>履行合同</w:t>
      </w:r>
      <w:bookmarkEnd w:id="707"/>
      <w:bookmarkEnd w:id="708"/>
      <w:bookmarkEnd w:id="709"/>
      <w:bookmarkEnd w:id="710"/>
    </w:p>
    <w:p>
      <w:pPr>
        <w:pStyle w:val="28"/>
        <w:bidi w:val="0"/>
        <w:rPr>
          <w:rFonts w:hint="eastAsia" w:ascii="宋体" w:hAnsi="宋体" w:eastAsia="宋体" w:cs="宋体"/>
          <w:color w:val="auto"/>
          <w:highlight w:val="none"/>
        </w:rPr>
      </w:pPr>
      <w:bookmarkStart w:id="728" w:name="_Toc12435"/>
      <w:bookmarkStart w:id="729" w:name="_Toc31"/>
      <w:r>
        <w:rPr>
          <w:rFonts w:hint="eastAsia" w:ascii="宋体" w:hAnsi="宋体" w:eastAsia="宋体" w:cs="宋体"/>
          <w:color w:val="auto"/>
          <w:highlight w:val="none"/>
        </w:rPr>
        <w:t>采购人与中标人应当根据合同的约定依法履行合同义务。</w:t>
      </w:r>
    </w:p>
    <w:p>
      <w:pPr>
        <w:pStyle w:val="28"/>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政府采购合同的履行、违约责任和解决争议的方法等适用《中华人民共和国</w:t>
      </w:r>
      <w:r>
        <w:rPr>
          <w:rFonts w:hint="eastAsia" w:cs="宋体"/>
          <w:color w:val="auto"/>
          <w:highlight w:val="none"/>
          <w:lang w:val="en-US" w:eastAsia="zh-CN"/>
        </w:rPr>
        <w:t>民法典</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p>
    <w:p>
      <w:pPr>
        <w:pStyle w:val="27"/>
        <w:numPr>
          <w:ilvl w:val="2"/>
          <w:numId w:val="15"/>
        </w:numPr>
        <w:bidi w:val="0"/>
        <w:rPr>
          <w:rFonts w:hint="eastAsia" w:ascii="宋体" w:hAnsi="宋体" w:eastAsia="宋体" w:cs="宋体"/>
          <w:color w:val="auto"/>
          <w:highlight w:val="none"/>
        </w:rPr>
      </w:pPr>
      <w:bookmarkStart w:id="730" w:name="_Toc22276"/>
      <w:bookmarkStart w:id="731" w:name="_Toc8008"/>
      <w:r>
        <w:rPr>
          <w:rFonts w:hint="eastAsia" w:ascii="宋体" w:hAnsi="宋体" w:eastAsia="宋体" w:cs="宋体"/>
          <w:color w:val="auto"/>
          <w:highlight w:val="none"/>
        </w:rPr>
        <w:t>验收</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pPr>
        <w:pStyle w:val="28"/>
        <w:bidi w:val="0"/>
        <w:rPr>
          <w:rFonts w:hint="eastAsia" w:ascii="宋体" w:hAnsi="宋体" w:eastAsia="宋体" w:cs="宋体"/>
          <w:color w:val="auto"/>
          <w:highlight w:val="none"/>
        </w:rPr>
      </w:pPr>
      <w:bookmarkStart w:id="732" w:name="_Toc217446071"/>
      <w:r>
        <w:rPr>
          <w:rFonts w:hint="eastAsia" w:ascii="宋体" w:hAnsi="宋体" w:eastAsia="宋体" w:cs="宋体"/>
          <w:color w:val="auto"/>
          <w:highlight w:val="none"/>
        </w:rPr>
        <w:t>本项目采购人及其委托的采购代理机构将严格按照</w:t>
      </w:r>
      <w:r>
        <w:rPr>
          <w:rFonts w:hint="eastAsia" w:ascii="宋体" w:hAnsi="宋体" w:eastAsia="宋体" w:cs="宋体"/>
          <w:color w:val="auto"/>
          <w:highlight w:val="none"/>
          <w:lang w:val="en-US" w:eastAsia="zh-CN"/>
        </w:rPr>
        <w:t>按国家新闻出版总署公布的自2005年3月1日起施行的《图书质量管理规定》相关规定和采购文件的质量要求和技术指标进行验收，其他未尽事宜应按照《财政部关于进一步加强政府采购需求和履约验收管理的指导意见》(财库〔2016〕205号)</w:t>
      </w:r>
      <w:r>
        <w:rPr>
          <w:rFonts w:hint="eastAsia" w:ascii="宋体" w:hAnsi="宋体" w:eastAsia="宋体" w:cs="宋体"/>
          <w:color w:val="auto"/>
          <w:highlight w:val="none"/>
        </w:rPr>
        <w:t>的要求进行验收。</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验收结果合格的，中标人凭验收合格证明书至履约保证金收取单位办理履约保证金的退付手续；验收结果不合格的，履约保证金将不予退还，也将不予支付采购资金，还可能会报本项目同级财政部门按照政府采购法律法规及</w:t>
      </w:r>
      <w:r>
        <w:rPr>
          <w:rFonts w:hint="eastAsia" w:cs="宋体"/>
          <w:color w:val="auto"/>
          <w:highlight w:val="none"/>
          <w:lang w:val="en-US" w:eastAsia="zh-CN"/>
        </w:rPr>
        <w:t>参照</w:t>
      </w:r>
      <w:r>
        <w:rPr>
          <w:rFonts w:hint="eastAsia" w:ascii="宋体" w:hAnsi="宋体" w:eastAsia="宋体" w:cs="宋体"/>
          <w:color w:val="auto"/>
          <w:highlight w:val="none"/>
        </w:rPr>
        <w:t>《四川省政府采购当事人诚信管理办法》(川财采〔2015〕33号)等有关规定给予行政处罚或者以失信行为记入诚信档案。</w:t>
      </w:r>
    </w:p>
    <w:bookmarkEnd w:id="615"/>
    <w:bookmarkEnd w:id="616"/>
    <w:bookmarkEnd w:id="732"/>
    <w:p>
      <w:pPr>
        <w:pStyle w:val="27"/>
        <w:numPr>
          <w:ilvl w:val="2"/>
          <w:numId w:val="15"/>
        </w:numPr>
        <w:bidi w:val="0"/>
        <w:rPr>
          <w:rFonts w:hint="eastAsia" w:ascii="宋体" w:hAnsi="宋体" w:eastAsia="宋体" w:cs="宋体"/>
          <w:color w:val="auto"/>
          <w:highlight w:val="none"/>
        </w:rPr>
      </w:pPr>
      <w:bookmarkStart w:id="733" w:name="_Toc308164818"/>
      <w:bookmarkStart w:id="734" w:name="_Toc3266"/>
      <w:bookmarkStart w:id="735" w:name="_Toc16716"/>
      <w:bookmarkStart w:id="736" w:name="_Toc17896"/>
      <w:bookmarkStart w:id="737" w:name="_Toc21589"/>
      <w:bookmarkStart w:id="738" w:name="_Toc217446074"/>
      <w:bookmarkStart w:id="739" w:name="_Toc16219"/>
      <w:bookmarkStart w:id="740" w:name="_Toc327196297"/>
      <w:bookmarkStart w:id="741" w:name="_Toc183682380"/>
      <w:bookmarkStart w:id="742" w:name="_Toc183582243"/>
      <w:r>
        <w:rPr>
          <w:rFonts w:hint="eastAsia" w:ascii="宋体" w:hAnsi="宋体" w:eastAsia="宋体" w:cs="宋体"/>
          <w:color w:val="auto"/>
          <w:highlight w:val="none"/>
        </w:rPr>
        <w:t>资金支付</w:t>
      </w:r>
      <w:bookmarkEnd w:id="733"/>
      <w:r>
        <w:rPr>
          <w:rFonts w:hint="eastAsia" w:ascii="宋体" w:hAnsi="宋体" w:eastAsia="宋体" w:cs="宋体"/>
          <w:color w:val="auto"/>
          <w:highlight w:val="none"/>
          <w:lang w:val="en-US" w:eastAsia="zh-CN"/>
        </w:rPr>
        <w:t>方式、时间、条件</w:t>
      </w:r>
      <w:bookmarkEnd w:id="734"/>
      <w:bookmarkEnd w:id="735"/>
      <w:bookmarkEnd w:id="736"/>
      <w:bookmarkEnd w:id="737"/>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采购资金的支付方式：采购人将按照政府采购合同规定，及时向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以银行转账方式支付采购资金。对于满足合同约定支付条件的，采购人应当自收到发票后</w:t>
      </w:r>
      <w:r>
        <w:rPr>
          <w:rFonts w:hint="eastAsia" w:ascii="宋体" w:hAnsi="宋体" w:eastAsia="宋体" w:cs="宋体"/>
          <w:color w:val="auto"/>
          <w:highlight w:val="none"/>
          <w:lang w:val="en-US" w:eastAsia="zh-CN"/>
        </w:rPr>
        <w:t>按照合同约定</w:t>
      </w:r>
      <w:r>
        <w:rPr>
          <w:rFonts w:hint="eastAsia" w:ascii="宋体" w:hAnsi="宋体" w:eastAsia="宋体" w:cs="宋体"/>
          <w:color w:val="auto"/>
          <w:highlight w:val="none"/>
        </w:rPr>
        <w:t>将资金支付到合同约定的供应商账户，不得以机构变动、人员更替、政策调整等为由延迟付款，不得将</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文件和合同中未规定的义务作为向供应商付款的条件。</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采购资金的支付时间：</w:t>
      </w:r>
      <w:r>
        <w:rPr>
          <w:rFonts w:hint="eastAsia" w:ascii="宋体" w:hAnsi="宋体" w:eastAsia="宋体" w:cs="宋体"/>
          <w:color w:val="auto"/>
          <w:highlight w:val="none"/>
          <w:lang w:val="en-US" w:eastAsia="zh-CN"/>
        </w:rPr>
        <w:t>详见招标文件第六章</w:t>
      </w:r>
      <w:r>
        <w:rPr>
          <w:rFonts w:hint="eastAsia" w:ascii="宋体" w:hAnsi="宋体" w:eastAsia="宋体" w:cs="宋体"/>
          <w:color w:val="auto"/>
          <w:highlight w:val="none"/>
          <w:lang w:eastAsia="zh-CN"/>
        </w:rPr>
        <w:t>。</w:t>
      </w:r>
    </w:p>
    <w:p>
      <w:pPr>
        <w:pStyle w:val="28"/>
        <w:bidi w:val="0"/>
        <w:rPr>
          <w:rFonts w:hint="eastAsia" w:ascii="宋体" w:hAnsi="宋体" w:eastAsia="宋体" w:cs="宋体"/>
          <w:color w:val="auto"/>
          <w:highlight w:val="none"/>
        </w:rPr>
      </w:pPr>
      <w:r>
        <w:rPr>
          <w:rFonts w:hint="eastAsia" w:ascii="宋体" w:hAnsi="宋体" w:eastAsia="宋体" w:cs="宋体"/>
          <w:color w:val="auto"/>
          <w:highlight w:val="none"/>
        </w:rPr>
        <w:t>采购资金的支付条件：</w:t>
      </w:r>
      <w:r>
        <w:rPr>
          <w:rFonts w:hint="eastAsia" w:ascii="宋体" w:hAnsi="宋体" w:eastAsia="宋体" w:cs="宋体"/>
          <w:color w:val="auto"/>
          <w:highlight w:val="none"/>
          <w:lang w:val="en-US" w:eastAsia="zh-CN"/>
        </w:rPr>
        <w:t>详见招标文件第六章</w:t>
      </w:r>
      <w:r>
        <w:rPr>
          <w:rFonts w:hint="eastAsia" w:ascii="宋体" w:hAnsi="宋体" w:eastAsia="宋体" w:cs="宋体"/>
          <w:color w:val="auto"/>
          <w:highlight w:val="none"/>
          <w:lang w:eastAsia="zh-CN"/>
        </w:rPr>
        <w:t>。</w:t>
      </w:r>
    </w:p>
    <w:p>
      <w:pPr>
        <w:pStyle w:val="46"/>
        <w:bidi w:val="0"/>
        <w:rPr>
          <w:rFonts w:hint="eastAsia" w:ascii="宋体" w:hAnsi="宋体" w:eastAsia="宋体" w:cs="宋体"/>
          <w:color w:val="auto"/>
          <w:highlight w:val="none"/>
        </w:rPr>
      </w:pPr>
      <w:bookmarkStart w:id="743" w:name="_Toc3955"/>
      <w:bookmarkStart w:id="744" w:name="_Toc1886"/>
      <w:bookmarkStart w:id="745" w:name="_Toc27770"/>
      <w:bookmarkStart w:id="746" w:name="_Toc15972"/>
      <w:r>
        <w:rPr>
          <w:rFonts w:hint="eastAsia" w:ascii="宋体" w:hAnsi="宋体" w:eastAsia="宋体" w:cs="宋体"/>
          <w:color w:val="auto"/>
          <w:highlight w:val="none"/>
        </w:rPr>
        <w:t>投标纪律要求</w:t>
      </w:r>
      <w:bookmarkEnd w:id="738"/>
      <w:bookmarkEnd w:id="739"/>
      <w:bookmarkEnd w:id="740"/>
      <w:bookmarkEnd w:id="743"/>
      <w:bookmarkEnd w:id="744"/>
      <w:bookmarkEnd w:id="745"/>
      <w:bookmarkEnd w:id="746"/>
    </w:p>
    <w:p>
      <w:pPr>
        <w:pStyle w:val="29"/>
        <w:bidi w:val="0"/>
        <w:rPr>
          <w:rFonts w:hint="eastAsia" w:ascii="宋体" w:hAnsi="宋体" w:eastAsia="宋体" w:cs="宋体"/>
          <w:color w:val="auto"/>
          <w:highlight w:val="none"/>
          <w:lang w:eastAsia="zh-CN"/>
        </w:rPr>
      </w:pPr>
      <w:bookmarkStart w:id="747" w:name="_Toc308084609"/>
      <w:bookmarkStart w:id="748" w:name="_Toc1828"/>
      <w:bookmarkStart w:id="749" w:name="_Toc6284"/>
      <w:bookmarkStart w:id="750" w:name="_Toc30964"/>
      <w:bookmarkStart w:id="751" w:name="_Toc10754"/>
      <w:bookmarkStart w:id="752" w:name="_Toc11074"/>
      <w:bookmarkStart w:id="753" w:name="_Toc319440154"/>
      <w:bookmarkStart w:id="754" w:name="_Toc27399"/>
      <w:bookmarkStart w:id="755" w:name="_Toc17887"/>
      <w:bookmarkStart w:id="756" w:name="_Toc309897527"/>
      <w:bookmarkStart w:id="757" w:name="_Toc217446075"/>
      <w:bookmarkStart w:id="758" w:name="_Toc307564864"/>
      <w:bookmarkStart w:id="759" w:name="_Toc319439912"/>
      <w:bookmarkStart w:id="760" w:name="_Toc5014"/>
      <w:bookmarkStart w:id="761" w:name="_Toc308188164"/>
      <w:bookmarkStart w:id="762" w:name="_Toc31498"/>
      <w:bookmarkStart w:id="763" w:name="_Toc21018"/>
      <w:bookmarkStart w:id="764" w:name="_Toc327196298"/>
      <w:bookmarkStart w:id="765" w:name="_Toc307501121"/>
      <w:bookmarkStart w:id="766" w:name="_Toc20490"/>
      <w:r>
        <w:rPr>
          <w:rFonts w:hint="eastAsia" w:ascii="宋体" w:hAnsi="宋体" w:eastAsia="宋体" w:cs="宋体"/>
          <w:color w:val="auto"/>
          <w:highlight w:val="none"/>
        </w:rPr>
        <w:t>投标人不得具有的情形</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r>
        <w:rPr>
          <w:rFonts w:hint="eastAsia" w:ascii="宋体" w:hAnsi="宋体" w:eastAsia="宋体" w:cs="宋体"/>
          <w:color w:val="auto"/>
          <w:highlight w:val="none"/>
          <w:lang w:eastAsia="zh-CN"/>
        </w:rPr>
        <w:t>：</w:t>
      </w:r>
    </w:p>
    <w:p>
      <w:pPr>
        <w:pStyle w:val="37"/>
        <w:numPr>
          <w:ilvl w:val="1"/>
          <w:numId w:val="16"/>
        </w:numPr>
        <w:bidi w:val="0"/>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w:t>
      </w:r>
    </w:p>
    <w:p>
      <w:pPr>
        <w:pStyle w:val="37"/>
        <w:numPr>
          <w:ilvl w:val="1"/>
          <w:numId w:val="16"/>
        </w:numPr>
        <w:bidi w:val="0"/>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采取不正当手段诋毁、排挤其他投标人；</w:t>
      </w:r>
    </w:p>
    <w:p>
      <w:pPr>
        <w:pStyle w:val="37"/>
        <w:numPr>
          <w:ilvl w:val="1"/>
          <w:numId w:val="16"/>
        </w:numPr>
        <w:bidi w:val="0"/>
        <w:rPr>
          <w:rFonts w:hint="eastAsia" w:ascii="宋体" w:hAnsi="宋体" w:eastAsia="宋体" w:cs="宋体"/>
          <w:color w:val="auto"/>
          <w:highlight w:val="none"/>
        </w:rPr>
      </w:pPr>
      <w:r>
        <w:rPr>
          <w:rFonts w:hint="eastAsia" w:ascii="宋体" w:hAnsi="宋体" w:eastAsia="宋体" w:cs="宋体"/>
          <w:color w:val="auto"/>
          <w:highlight w:val="none"/>
        </w:rPr>
        <w:t>与招标采购单位、其他投标人恶意串通；</w:t>
      </w:r>
    </w:p>
    <w:p>
      <w:pPr>
        <w:pStyle w:val="37"/>
        <w:numPr>
          <w:ilvl w:val="1"/>
          <w:numId w:val="16"/>
        </w:numPr>
        <w:bidi w:val="0"/>
        <w:rPr>
          <w:rFonts w:hint="eastAsia" w:ascii="宋体" w:hAnsi="宋体" w:eastAsia="宋体" w:cs="宋体"/>
          <w:color w:val="auto"/>
          <w:highlight w:val="none"/>
        </w:rPr>
      </w:pPr>
      <w:r>
        <w:rPr>
          <w:rFonts w:hint="eastAsia" w:ascii="宋体" w:hAnsi="宋体" w:eastAsia="宋体" w:cs="宋体"/>
          <w:color w:val="auto"/>
          <w:highlight w:val="none"/>
        </w:rPr>
        <w:t>向招标采购单位、评标委员会成员行贿或者提供其他不正当利益；</w:t>
      </w:r>
    </w:p>
    <w:p>
      <w:pPr>
        <w:pStyle w:val="37"/>
        <w:numPr>
          <w:ilvl w:val="1"/>
          <w:numId w:val="16"/>
        </w:numPr>
        <w:bidi w:val="0"/>
        <w:rPr>
          <w:rFonts w:hint="eastAsia" w:ascii="宋体" w:hAnsi="宋体" w:eastAsia="宋体" w:cs="宋体"/>
          <w:color w:val="auto"/>
          <w:highlight w:val="none"/>
        </w:rPr>
      </w:pPr>
      <w:r>
        <w:rPr>
          <w:rFonts w:hint="eastAsia" w:ascii="宋体" w:hAnsi="宋体" w:eastAsia="宋体" w:cs="宋体"/>
          <w:color w:val="auto"/>
          <w:highlight w:val="none"/>
        </w:rPr>
        <w:t>在招标过程中与招标采购单位进行协商谈判；</w:t>
      </w:r>
    </w:p>
    <w:p>
      <w:pPr>
        <w:pStyle w:val="37"/>
        <w:numPr>
          <w:ilvl w:val="1"/>
          <w:numId w:val="16"/>
        </w:numPr>
        <w:bidi w:val="0"/>
        <w:rPr>
          <w:rFonts w:hint="eastAsia" w:ascii="宋体" w:hAnsi="宋体" w:eastAsia="宋体" w:cs="宋体"/>
          <w:color w:val="auto"/>
          <w:highlight w:val="none"/>
        </w:rPr>
      </w:pPr>
      <w:r>
        <w:rPr>
          <w:rFonts w:hint="eastAsia" w:ascii="宋体" w:hAnsi="宋体" w:eastAsia="宋体" w:cs="宋体"/>
          <w:color w:val="auto"/>
          <w:highlight w:val="none"/>
        </w:rPr>
        <w:t>中标或者成交后无正当理由拒不与采购人签订政府采购合同；</w:t>
      </w:r>
    </w:p>
    <w:p>
      <w:pPr>
        <w:pStyle w:val="37"/>
        <w:numPr>
          <w:ilvl w:val="1"/>
          <w:numId w:val="16"/>
        </w:numPr>
        <w:bidi w:val="0"/>
        <w:rPr>
          <w:rFonts w:hint="eastAsia" w:ascii="宋体" w:hAnsi="宋体" w:eastAsia="宋体" w:cs="宋体"/>
          <w:color w:val="auto"/>
          <w:highlight w:val="none"/>
        </w:rPr>
      </w:pPr>
      <w:r>
        <w:rPr>
          <w:rFonts w:hint="eastAsia" w:ascii="宋体" w:hAnsi="宋体" w:eastAsia="宋体" w:cs="宋体"/>
          <w:color w:val="auto"/>
          <w:highlight w:val="none"/>
        </w:rPr>
        <w:t>未按照采购文件确定的事项签订政府采购合同；</w:t>
      </w:r>
    </w:p>
    <w:p>
      <w:pPr>
        <w:pStyle w:val="37"/>
        <w:numPr>
          <w:ilvl w:val="1"/>
          <w:numId w:val="16"/>
        </w:numPr>
        <w:bidi w:val="0"/>
        <w:rPr>
          <w:rFonts w:hint="eastAsia" w:ascii="宋体" w:hAnsi="宋体" w:eastAsia="宋体" w:cs="宋体"/>
          <w:color w:val="auto"/>
          <w:highlight w:val="none"/>
        </w:rPr>
      </w:pPr>
      <w:r>
        <w:rPr>
          <w:rFonts w:hint="eastAsia" w:ascii="宋体" w:hAnsi="宋体" w:eastAsia="宋体" w:cs="宋体"/>
          <w:color w:val="auto"/>
          <w:highlight w:val="none"/>
        </w:rPr>
        <w:t>将政府采购合同转包或者违规分包；</w:t>
      </w:r>
    </w:p>
    <w:p>
      <w:pPr>
        <w:pStyle w:val="37"/>
        <w:numPr>
          <w:ilvl w:val="1"/>
          <w:numId w:val="16"/>
        </w:numPr>
        <w:bidi w:val="0"/>
        <w:rPr>
          <w:rFonts w:hint="eastAsia" w:ascii="宋体" w:hAnsi="宋体" w:eastAsia="宋体" w:cs="宋体"/>
          <w:color w:val="auto"/>
          <w:highlight w:val="none"/>
        </w:rPr>
      </w:pPr>
      <w:r>
        <w:rPr>
          <w:rFonts w:hint="eastAsia" w:ascii="宋体" w:hAnsi="宋体" w:eastAsia="宋体" w:cs="宋体"/>
          <w:color w:val="auto"/>
          <w:highlight w:val="none"/>
        </w:rPr>
        <w:t>提供假冒伪劣产品；</w:t>
      </w:r>
    </w:p>
    <w:p>
      <w:pPr>
        <w:pStyle w:val="37"/>
        <w:numPr>
          <w:ilvl w:val="1"/>
          <w:numId w:val="16"/>
        </w:numPr>
        <w:bidi w:val="0"/>
        <w:rPr>
          <w:rFonts w:hint="eastAsia" w:ascii="宋体" w:hAnsi="宋体" w:eastAsia="宋体" w:cs="宋体"/>
          <w:color w:val="auto"/>
          <w:highlight w:val="none"/>
        </w:rPr>
      </w:pPr>
      <w:r>
        <w:rPr>
          <w:rFonts w:hint="eastAsia" w:ascii="宋体" w:hAnsi="宋体" w:eastAsia="宋体" w:cs="宋体"/>
          <w:color w:val="auto"/>
          <w:highlight w:val="none"/>
        </w:rPr>
        <w:t>擅自变更、中止或者终止政府采购合同；</w:t>
      </w:r>
    </w:p>
    <w:p>
      <w:pPr>
        <w:pStyle w:val="37"/>
        <w:numPr>
          <w:ilvl w:val="1"/>
          <w:numId w:val="16"/>
        </w:numPr>
        <w:bidi w:val="0"/>
        <w:rPr>
          <w:rFonts w:hint="eastAsia" w:ascii="宋体" w:hAnsi="宋体" w:eastAsia="宋体" w:cs="宋体"/>
          <w:color w:val="auto"/>
          <w:highlight w:val="none"/>
        </w:rPr>
      </w:pPr>
      <w:r>
        <w:rPr>
          <w:rFonts w:hint="eastAsia" w:ascii="宋体" w:hAnsi="宋体" w:eastAsia="宋体" w:cs="宋体"/>
          <w:color w:val="auto"/>
          <w:highlight w:val="none"/>
        </w:rPr>
        <w:t>拒绝有关部门的监督检查或者向监督检查部门提供虚假情况；</w:t>
      </w:r>
    </w:p>
    <w:p>
      <w:pPr>
        <w:pStyle w:val="37"/>
        <w:numPr>
          <w:ilvl w:val="1"/>
          <w:numId w:val="16"/>
        </w:numPr>
        <w:bidi w:val="0"/>
        <w:rPr>
          <w:rFonts w:hint="eastAsia" w:ascii="宋体" w:hAnsi="宋体" w:eastAsia="宋体" w:cs="宋体"/>
          <w:color w:val="auto"/>
          <w:highlight w:val="none"/>
        </w:rPr>
      </w:pPr>
      <w:r>
        <w:rPr>
          <w:rFonts w:hint="eastAsia" w:ascii="宋体" w:hAnsi="宋体" w:eastAsia="宋体" w:cs="宋体"/>
          <w:color w:val="auto"/>
          <w:highlight w:val="none"/>
        </w:rPr>
        <w:t>法律法规规定的其他情形。</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color w:val="auto"/>
          <w:highlight w:val="none"/>
        </w:rPr>
      </w:pPr>
      <w:bookmarkStart w:id="767" w:name="_Toc8765"/>
      <w:bookmarkStart w:id="768" w:name="_Toc525"/>
      <w:bookmarkStart w:id="769" w:name="_Toc217446078"/>
      <w:bookmarkStart w:id="770" w:name="_Toc20327"/>
      <w:r>
        <w:rPr>
          <w:rFonts w:hint="eastAsia" w:ascii="宋体" w:hAnsi="宋体" w:eastAsia="宋体" w:cs="宋体"/>
          <w:color w:val="auto"/>
          <w:highlight w:val="none"/>
        </w:rPr>
        <w:t>投标人有上述情形的，按照规定追究法律责任，具备</w:t>
      </w:r>
      <w:r>
        <w:rPr>
          <w:rFonts w:hint="eastAsia" w:ascii="宋体" w:hAnsi="宋体" w:eastAsia="宋体" w:cs="宋体"/>
          <w:color w:val="auto"/>
          <w:highlight w:val="none"/>
          <w:lang w:val="en-US" w:eastAsia="zh-CN"/>
        </w:rPr>
        <w:t>(一)～(十)</w:t>
      </w:r>
      <w:r>
        <w:rPr>
          <w:rFonts w:hint="eastAsia" w:ascii="宋体" w:hAnsi="宋体" w:eastAsia="宋体" w:cs="宋体"/>
          <w:color w:val="auto"/>
          <w:highlight w:val="none"/>
        </w:rPr>
        <w:t>条情形之一的，同时将取消中标资格或者认定中标无效。</w:t>
      </w:r>
    </w:p>
    <w:bookmarkEnd w:id="741"/>
    <w:bookmarkEnd w:id="742"/>
    <w:bookmarkEnd w:id="767"/>
    <w:bookmarkEnd w:id="768"/>
    <w:bookmarkEnd w:id="769"/>
    <w:bookmarkEnd w:id="770"/>
    <w:p>
      <w:pPr>
        <w:pStyle w:val="46"/>
        <w:bidi w:val="0"/>
        <w:rPr>
          <w:rFonts w:hint="eastAsia" w:ascii="宋体" w:hAnsi="宋体" w:eastAsia="宋体" w:cs="宋体"/>
          <w:color w:val="auto"/>
          <w:highlight w:val="none"/>
        </w:rPr>
      </w:pPr>
      <w:bookmarkStart w:id="771" w:name="_Toc25511"/>
      <w:bookmarkStart w:id="772" w:name="_Toc1652"/>
      <w:bookmarkStart w:id="773" w:name="_Toc12421"/>
      <w:bookmarkStart w:id="774" w:name="_Toc24434"/>
      <w:bookmarkStart w:id="775" w:name="_Toc24165"/>
      <w:bookmarkStart w:id="776" w:name="_Toc9092"/>
      <w:bookmarkStart w:id="777" w:name="_Toc414"/>
      <w:bookmarkStart w:id="778" w:name="_Toc327196301"/>
      <w:bookmarkStart w:id="779" w:name="_Toc21424"/>
      <w:bookmarkStart w:id="780" w:name="_Toc5589"/>
      <w:r>
        <w:rPr>
          <w:rFonts w:hint="eastAsia" w:ascii="宋体" w:hAnsi="宋体" w:eastAsia="宋体" w:cs="宋体"/>
          <w:color w:val="auto"/>
          <w:highlight w:val="none"/>
          <w:lang w:val="en-US" w:eastAsia="zh-CN"/>
        </w:rPr>
        <w:t>其他</w:t>
      </w:r>
      <w:bookmarkEnd w:id="771"/>
    </w:p>
    <w:p>
      <w:pPr>
        <w:pStyle w:val="27"/>
        <w:numPr>
          <w:ilvl w:val="2"/>
          <w:numId w:val="17"/>
        </w:numPr>
        <w:bidi w:val="0"/>
        <w:rPr>
          <w:rFonts w:hint="eastAsia" w:ascii="宋体" w:hAnsi="宋体" w:eastAsia="宋体" w:cs="宋体"/>
          <w:color w:val="auto"/>
          <w:highlight w:val="none"/>
        </w:rPr>
      </w:pPr>
      <w:bookmarkStart w:id="781" w:name="_Toc31115"/>
      <w:bookmarkStart w:id="782" w:name="_Toc29042"/>
      <w:r>
        <w:rPr>
          <w:rFonts w:hint="eastAsia" w:ascii="宋体" w:hAnsi="宋体" w:eastAsia="宋体" w:cs="宋体"/>
          <w:color w:val="auto"/>
          <w:highlight w:val="none"/>
        </w:rPr>
        <w:t>询问</w:t>
      </w:r>
      <w:bookmarkEnd w:id="772"/>
      <w:bookmarkEnd w:id="773"/>
      <w:bookmarkEnd w:id="774"/>
      <w:bookmarkEnd w:id="775"/>
      <w:bookmarkEnd w:id="776"/>
      <w:bookmarkEnd w:id="777"/>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质疑和投诉</w:t>
      </w:r>
      <w:bookmarkEnd w:id="781"/>
      <w:bookmarkEnd w:id="782"/>
    </w:p>
    <w:bookmarkEnd w:id="778"/>
    <w:bookmarkEnd w:id="779"/>
    <w:p>
      <w:pPr>
        <w:pStyle w:val="29"/>
        <w:keepNext w:val="0"/>
        <w:keepLines w:val="0"/>
        <w:pageBreakBefore w:val="0"/>
        <w:widowControl w:val="0"/>
        <w:kinsoku/>
        <w:wordWrap w:val="0"/>
        <w:overflowPunct/>
        <w:topLinePunct/>
        <w:autoSpaceDE/>
        <w:autoSpaceDN/>
        <w:bidi w:val="0"/>
        <w:adjustRightInd w:val="0"/>
        <w:snapToGrid w:val="0"/>
        <w:ind w:left="0" w:lef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具体详见投标人须知前附表</w:t>
      </w:r>
      <w:r>
        <w:rPr>
          <w:rFonts w:hint="eastAsia" w:ascii="宋体" w:hAnsi="宋体" w:eastAsia="宋体" w:cs="宋体"/>
          <w:color w:val="auto"/>
          <w:highlight w:val="none"/>
        </w:rPr>
        <w:t>。</w:t>
      </w:r>
    </w:p>
    <w:p>
      <w:pPr>
        <w:pStyle w:val="27"/>
        <w:numPr>
          <w:ilvl w:val="2"/>
          <w:numId w:val="17"/>
        </w:numPr>
        <w:bidi w:val="0"/>
        <w:rPr>
          <w:rFonts w:hint="eastAsia" w:ascii="宋体" w:hAnsi="宋体" w:eastAsia="宋体" w:cs="宋体"/>
          <w:color w:val="auto"/>
          <w:highlight w:val="none"/>
        </w:rPr>
      </w:pPr>
      <w:bookmarkStart w:id="783" w:name="_Toc1502"/>
      <w:bookmarkStart w:id="784" w:name="_Toc11575"/>
      <w:bookmarkStart w:id="785" w:name="_Toc22454"/>
      <w:bookmarkStart w:id="786" w:name="_Toc8852"/>
      <w:bookmarkStart w:id="787" w:name="_Toc22229"/>
      <w:bookmarkStart w:id="788" w:name="_Toc27417"/>
      <w:r>
        <w:rPr>
          <w:rFonts w:hint="eastAsia" w:ascii="宋体" w:hAnsi="宋体" w:eastAsia="宋体" w:cs="宋体"/>
          <w:color w:val="auto"/>
          <w:highlight w:val="none"/>
        </w:rPr>
        <w:t>关于行贿犯罪档案查询工作的规定</w:t>
      </w:r>
      <w:bookmarkEnd w:id="783"/>
      <w:bookmarkEnd w:id="784"/>
      <w:bookmarkEnd w:id="785"/>
      <w:bookmarkEnd w:id="786"/>
      <w:bookmarkEnd w:id="787"/>
      <w:bookmarkEnd w:id="788"/>
    </w:p>
    <w:p>
      <w:pPr>
        <w:pStyle w:val="29"/>
        <w:bidi w:val="0"/>
        <w:rPr>
          <w:rFonts w:hint="eastAsia" w:ascii="宋体" w:hAnsi="宋体" w:eastAsia="宋体" w:cs="宋体"/>
          <w:color w:val="auto"/>
          <w:highlight w:val="none"/>
          <w:lang w:val="en-US"/>
        </w:rPr>
      </w:pPr>
      <w:bookmarkStart w:id="789" w:name="_Toc25217"/>
      <w:bookmarkStart w:id="790" w:name="_Toc24870"/>
      <w:r>
        <w:rPr>
          <w:rFonts w:hint="eastAsia" w:ascii="宋体" w:hAnsi="宋体" w:eastAsia="宋体" w:cs="宋体"/>
          <w:color w:val="auto"/>
          <w:highlight w:val="none"/>
          <w:lang w:val="en-US" w:eastAsia="zh-CN"/>
        </w:rPr>
        <w:t>因国家检察机关职务犯罪侦查部门转隶工作已经完成，供应商参与采购活动时须按照采购文件要求提供承诺函或由</w:t>
      </w:r>
      <w:r>
        <w:rPr>
          <w:rFonts w:hint="eastAsia" w:ascii="宋体" w:hAnsi="宋体" w:eastAsia="宋体" w:cs="宋体"/>
          <w:color w:val="auto"/>
          <w:highlight w:val="none"/>
        </w:rPr>
        <w:t>采购代理机构通过</w:t>
      </w:r>
      <w:r>
        <w:rPr>
          <w:rFonts w:hint="eastAsia" w:ascii="宋体" w:hAnsi="宋体" w:eastAsia="宋体" w:cs="宋体"/>
          <w:color w:val="auto"/>
          <w:highlight w:val="none"/>
          <w:lang w:val="en-US" w:eastAsia="zh-CN"/>
        </w:rPr>
        <w:t>“中国裁判文书网”查询</w:t>
      </w:r>
      <w:r>
        <w:rPr>
          <w:rFonts w:hint="eastAsia" w:ascii="宋体" w:hAnsi="宋体" w:eastAsia="宋体" w:cs="宋体"/>
          <w:color w:val="auto"/>
          <w:highlight w:val="none"/>
        </w:rPr>
        <w:t>，并将查询记录存档</w:t>
      </w:r>
      <w:r>
        <w:rPr>
          <w:rFonts w:hint="eastAsia" w:ascii="宋体" w:hAnsi="宋体" w:eastAsia="宋体" w:cs="宋体"/>
          <w:color w:val="auto"/>
          <w:highlight w:val="none"/>
          <w:lang w:val="en-US" w:eastAsia="zh-CN"/>
        </w:rPr>
        <w:t>。</w:t>
      </w:r>
    </w:p>
    <w:p>
      <w:pPr>
        <w:pStyle w:val="27"/>
        <w:numPr>
          <w:ilvl w:val="2"/>
          <w:numId w:val="17"/>
        </w:numPr>
        <w:bidi w:val="0"/>
        <w:rPr>
          <w:rFonts w:hint="eastAsia" w:ascii="宋体" w:hAnsi="宋体" w:eastAsia="宋体" w:cs="宋体"/>
          <w:color w:val="auto"/>
          <w:highlight w:val="none"/>
          <w:lang w:val="en-US" w:eastAsia="zh-CN"/>
        </w:rPr>
      </w:pPr>
      <w:bookmarkStart w:id="791" w:name="_Toc17543"/>
      <w:bookmarkStart w:id="792" w:name="_Toc28559"/>
      <w:bookmarkStart w:id="793" w:name="_Toc30100"/>
      <w:r>
        <w:rPr>
          <w:rFonts w:hint="eastAsia" w:ascii="宋体" w:hAnsi="宋体" w:eastAsia="宋体" w:cs="宋体"/>
          <w:color w:val="auto"/>
          <w:highlight w:val="none"/>
          <w:lang w:val="en-US" w:eastAsia="zh-CN"/>
        </w:rPr>
        <w:t>串通投标的情形</w:t>
      </w:r>
      <w:bookmarkEnd w:id="789"/>
      <w:bookmarkEnd w:id="790"/>
      <w:bookmarkEnd w:id="791"/>
      <w:bookmarkEnd w:id="792"/>
      <w:bookmarkEnd w:id="793"/>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有下列情形之一的，视为投标人串通投标，其投标无效</w:t>
      </w:r>
      <w:r>
        <w:rPr>
          <w:rFonts w:hint="eastAsia" w:ascii="宋体" w:hAnsi="宋体" w:eastAsia="宋体" w:cs="宋体"/>
          <w:color w:val="auto"/>
          <w:highlight w:val="none"/>
          <w:lang w:eastAsia="zh-CN"/>
        </w:rPr>
        <w:t>。</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不同投标人的投标文件由同一单位或者个人编制；</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不同投标人委托同一单位或者个人办理投标事宜；</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不同投标人的投标文件载明的项目管理成员或者联系人员为同一人；</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不同投标人的投标文件异常一致或者投标报价呈规律性差异；</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不同投标人的投标文件相互混装；</w:t>
      </w:r>
    </w:p>
    <w:p>
      <w:pPr>
        <w:pStyle w:val="27"/>
        <w:numPr>
          <w:ilvl w:val="2"/>
          <w:numId w:val="17"/>
        </w:numPr>
        <w:bidi w:val="0"/>
        <w:rPr>
          <w:rFonts w:hint="eastAsia" w:ascii="宋体" w:hAnsi="宋体" w:eastAsia="宋体" w:cs="宋体"/>
          <w:color w:val="auto"/>
          <w:highlight w:val="none"/>
          <w:lang w:val="en-US" w:eastAsia="zh-CN"/>
        </w:rPr>
      </w:pPr>
      <w:bookmarkStart w:id="794" w:name="_Toc10983"/>
      <w:bookmarkStart w:id="795" w:name="_Toc11956"/>
      <w:bookmarkStart w:id="796" w:name="_Toc22192"/>
      <w:bookmarkStart w:id="797" w:name="_Toc21656"/>
      <w:bookmarkStart w:id="798" w:name="_Toc32334"/>
      <w:bookmarkStart w:id="799" w:name="_Toc885"/>
      <w:bookmarkStart w:id="800" w:name="_Toc17038"/>
      <w:r>
        <w:rPr>
          <w:rFonts w:hint="eastAsia" w:ascii="宋体" w:hAnsi="宋体" w:eastAsia="宋体" w:cs="宋体"/>
          <w:color w:val="auto"/>
          <w:highlight w:val="none"/>
          <w:lang w:val="en-US" w:eastAsia="zh-CN"/>
        </w:rPr>
        <w:t>投标人信用信息查询</w:t>
      </w:r>
      <w:bookmarkEnd w:id="794"/>
      <w:bookmarkEnd w:id="795"/>
      <w:bookmarkEnd w:id="796"/>
      <w:bookmarkEnd w:id="797"/>
      <w:bookmarkEnd w:id="798"/>
      <w:bookmarkEnd w:id="799"/>
      <w:bookmarkEnd w:id="800"/>
    </w:p>
    <w:p>
      <w:pPr>
        <w:pStyle w:val="3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1.投标人信用信息查询渠道</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“信用中国”网站(www.creditchina.gov.cn)、</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中国政府采购网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(www.ccgp.gov.cn)等。</w:t>
      </w:r>
    </w:p>
    <w:p>
      <w:pPr>
        <w:pStyle w:val="3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2.投标人信用信息查询截止时点</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信用信息查询在资格审查阶段完成。</w:t>
      </w:r>
    </w:p>
    <w:p>
      <w:pPr>
        <w:pStyle w:val="3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3.投标人信用信息查询记录和证据留存的具体方式</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采购代理机构通过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信用中国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网站、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中国政府采购网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等渠道对供应商进行信用记录查询，并将查询记录存档。</w:t>
      </w:r>
    </w:p>
    <w:p>
      <w:pPr>
        <w:pStyle w:val="3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4.投标人信用信息的使用：</w:t>
      </w:r>
      <w:r>
        <w:rPr>
          <w:rFonts w:hint="eastAsia" w:ascii="宋体" w:hAnsi="宋体" w:eastAsia="宋体" w:cs="宋体"/>
          <w:color w:val="auto"/>
          <w:highlight w:val="none"/>
        </w:rPr>
        <w:t>凡被列入失信被执行人、重大税收违法案件当事人名单、政府采购严重违法失信行为记录名单的，视为存在不良信用记录，参与本项目的将被拒绝</w:t>
      </w:r>
      <w:r>
        <w:rPr>
          <w:rFonts w:hint="eastAsia" w:ascii="宋体" w:hAnsi="宋体" w:eastAsia="宋体" w:cs="宋体"/>
          <w:color w:val="auto"/>
          <w:highlight w:val="none"/>
          <w:lang w:val="en-US" w:eastAsia="zh-CN"/>
        </w:rPr>
        <w:t>。</w:t>
      </w:r>
    </w:p>
    <w:p>
      <w:pPr>
        <w:pStyle w:val="27"/>
        <w:numPr>
          <w:ilvl w:val="2"/>
          <w:numId w:val="17"/>
        </w:numPr>
        <w:bidi w:val="0"/>
        <w:rPr>
          <w:rFonts w:hint="eastAsia" w:ascii="宋体" w:hAnsi="宋体" w:eastAsia="宋体" w:cs="宋体"/>
          <w:color w:val="auto"/>
          <w:highlight w:val="none"/>
          <w:lang w:val="en-US" w:eastAsia="zh-CN"/>
        </w:rPr>
      </w:pPr>
      <w:bookmarkStart w:id="801" w:name="_Toc31999"/>
      <w:bookmarkStart w:id="802" w:name="_Toc9358"/>
      <w:r>
        <w:rPr>
          <w:rFonts w:hint="eastAsia" w:ascii="宋体" w:hAnsi="宋体" w:eastAsia="宋体" w:cs="宋体"/>
          <w:color w:val="auto"/>
          <w:highlight w:val="none"/>
          <w:lang w:val="en-US" w:eastAsia="zh-CN"/>
        </w:rPr>
        <w:t>解释说明</w:t>
      </w:r>
      <w:bookmarkEnd w:id="801"/>
      <w:bookmarkEnd w:id="802"/>
    </w:p>
    <w:p>
      <w:pPr>
        <w:pStyle w:val="3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本</w:t>
      </w:r>
      <w:r>
        <w:rPr>
          <w:rFonts w:hint="eastAsia" w:ascii="宋体" w:hAnsi="宋体" w:eastAsia="宋体" w:cs="宋体"/>
          <w:color w:val="auto"/>
          <w:highlight w:val="none"/>
          <w:lang w:val="en-US" w:eastAsia="zh-CN"/>
        </w:rPr>
        <w:t>招标文件</w:t>
      </w:r>
      <w:r>
        <w:rPr>
          <w:rFonts w:hint="eastAsia" w:ascii="宋体" w:hAnsi="宋体" w:eastAsia="宋体" w:cs="宋体"/>
          <w:color w:val="auto"/>
          <w:highlight w:val="none"/>
        </w:rPr>
        <w:t>中作为实质性要求的内容，除明确要求</w:t>
      </w:r>
      <w:r>
        <w:rPr>
          <w:rFonts w:hint="eastAsia" w:ascii="宋体" w:hAnsi="宋体" w:eastAsia="宋体" w:cs="宋体"/>
          <w:color w:val="auto"/>
          <w:highlight w:val="none"/>
          <w:lang w:val="en-US" w:eastAsia="zh-CN"/>
        </w:rPr>
        <w:t>需在投标时</w:t>
      </w:r>
      <w:r>
        <w:rPr>
          <w:rFonts w:hint="eastAsia" w:ascii="宋体" w:hAnsi="宋体" w:eastAsia="宋体" w:cs="宋体"/>
          <w:color w:val="auto"/>
          <w:highlight w:val="none"/>
        </w:rPr>
        <w:t>提供承诺函等证明材料的外，采购人或采购代理机构或评标委员会在评审时，仅对投标文件是否违背实质性要求进行审查</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如该项未</w:t>
      </w:r>
      <w:r>
        <w:rPr>
          <w:rFonts w:hint="eastAsia" w:ascii="宋体" w:hAnsi="宋体" w:eastAsia="宋体" w:cs="宋体"/>
          <w:color w:val="auto"/>
          <w:highlight w:val="none"/>
        </w:rPr>
        <w:t>违背实质性</w:t>
      </w:r>
      <w:r>
        <w:rPr>
          <w:rFonts w:hint="eastAsia" w:ascii="宋体" w:hAnsi="宋体" w:eastAsia="宋体" w:cs="宋体"/>
          <w:color w:val="auto"/>
          <w:highlight w:val="none"/>
          <w:lang w:val="en-US" w:eastAsia="zh-CN"/>
        </w:rPr>
        <w:t>要求，视为满足实质性要求</w:t>
      </w:r>
      <w:r>
        <w:rPr>
          <w:rFonts w:hint="eastAsia" w:ascii="宋体" w:hAnsi="宋体" w:eastAsia="宋体" w:cs="宋体"/>
          <w:color w:val="auto"/>
          <w:highlight w:val="none"/>
        </w:rPr>
        <w:t>。</w:t>
      </w:r>
    </w:p>
    <w:p>
      <w:pPr>
        <w:pStyle w:val="3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本招标文件中所引</w:t>
      </w:r>
      <w:r>
        <w:rPr>
          <w:rFonts w:hint="eastAsia" w:ascii="宋体" w:hAnsi="宋体" w:eastAsia="宋体" w:cs="宋体"/>
          <w:color w:val="auto"/>
          <w:highlight w:val="none"/>
          <w:lang w:val="en-US" w:eastAsia="zh-CN"/>
        </w:rPr>
        <w:t>用的</w:t>
      </w:r>
      <w:r>
        <w:rPr>
          <w:rFonts w:hint="eastAsia" w:ascii="宋体" w:hAnsi="宋体" w:eastAsia="宋体" w:cs="宋体"/>
          <w:color w:val="auto"/>
          <w:highlight w:val="none"/>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按照变化后的相关法律制度规定执行，本招标文件不再做调整。</w:t>
      </w:r>
    </w:p>
    <w:p>
      <w:pPr>
        <w:pStyle w:val="37"/>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国家或行业主管部门对供应商和采购产品的技术标准、质量标准和资格资质条件等有强制性规定的，必须符合其要求</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实质性要求</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w:t>
      </w:r>
    </w:p>
    <w:p>
      <w:pPr>
        <w:pStyle w:val="37"/>
        <w:numPr>
          <w:ilvl w:val="1"/>
          <w:numId w:val="0"/>
        </w:num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sz w:val="24"/>
          <w:szCs w:val="24"/>
          <w:highlight w:val="none"/>
          <w:lang w:val="en-US" w:eastAsia="zh-CN"/>
        </w:rPr>
        <w:t>本项目涉及企业资质、产品认证、人员执业资格等描述与国家最新要求不一致时以最新要求为准。</w:t>
      </w:r>
    </w:p>
    <w:p>
      <w:pPr>
        <w:pStyle w:val="24"/>
        <w:numPr>
          <w:ilvl w:val="0"/>
          <w:numId w:val="11"/>
        </w:num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780"/>
      <w:bookmarkStart w:id="803" w:name="_Toc29575"/>
      <w:bookmarkStart w:id="804" w:name="_Toc1485"/>
      <w:bookmarkStart w:id="805" w:name="_Toc4206"/>
      <w:bookmarkStart w:id="806" w:name="_Toc31402"/>
      <w:bookmarkStart w:id="807" w:name="_Toc25961"/>
      <w:r>
        <w:rPr>
          <w:rFonts w:hint="eastAsia" w:ascii="宋体" w:hAnsi="宋体" w:eastAsia="宋体" w:cs="宋体"/>
          <w:color w:val="auto"/>
          <w:highlight w:val="none"/>
        </w:rPr>
        <w:t>投标文件格式</w:t>
      </w:r>
      <w:bookmarkEnd w:id="803"/>
      <w:bookmarkEnd w:id="804"/>
      <w:bookmarkEnd w:id="805"/>
      <w:bookmarkEnd w:id="806"/>
      <w:bookmarkEnd w:id="807"/>
    </w:p>
    <w:p>
      <w:pPr>
        <w:pStyle w:val="50"/>
        <w:bidi w:val="0"/>
        <w:rPr>
          <w:rFonts w:hint="eastAsia" w:ascii="宋体" w:hAnsi="宋体" w:eastAsia="宋体" w:cs="宋体"/>
          <w:color w:val="auto"/>
          <w:highlight w:val="none"/>
        </w:rPr>
      </w:pPr>
      <w:bookmarkStart w:id="808" w:name="_Toc294701519"/>
      <w:bookmarkStart w:id="809" w:name="_Toc182629023"/>
      <w:bookmarkStart w:id="810" w:name="_Toc439161746"/>
      <w:bookmarkStart w:id="811" w:name="_Toc16460"/>
      <w:bookmarkStart w:id="812" w:name="_Toc294688711"/>
      <w:bookmarkStart w:id="813" w:name="_Toc316462354"/>
      <w:bookmarkStart w:id="814" w:name="_Toc287367101"/>
      <w:bookmarkStart w:id="815" w:name="_Toc295978802"/>
      <w:bookmarkStart w:id="816" w:name="_Toc182759327"/>
      <w:bookmarkStart w:id="817" w:name="_Toc211218954"/>
      <w:r>
        <w:rPr>
          <w:rFonts w:hint="eastAsia" w:ascii="宋体" w:hAnsi="宋体" w:eastAsia="宋体" w:cs="宋体"/>
          <w:color w:val="auto"/>
          <w:highlight w:val="none"/>
        </w:rPr>
        <w:t>一、本章所制</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文件格式，除格式中明确将该格式作为实质性要求的，一律不具有强制性。</w:t>
      </w:r>
    </w:p>
    <w:p>
      <w:pPr>
        <w:pStyle w:val="50"/>
        <w:bidi w:val="0"/>
        <w:rPr>
          <w:rFonts w:hint="eastAsia" w:ascii="宋体" w:hAnsi="宋体" w:eastAsia="宋体" w:cs="宋体"/>
          <w:color w:val="auto"/>
          <w:highlight w:val="none"/>
        </w:rPr>
      </w:pPr>
      <w:r>
        <w:rPr>
          <w:rFonts w:hint="eastAsia" w:ascii="宋体" w:hAnsi="宋体" w:eastAsia="宋体" w:cs="宋体"/>
          <w:color w:val="auto"/>
          <w:highlight w:val="none"/>
        </w:rPr>
        <w:t>二、本章所制</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文件格式有关表格中的备注栏，由</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根据自身</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情况作解释性说明，不作为必填项。</w:t>
      </w:r>
    </w:p>
    <w:p>
      <w:pPr>
        <w:pStyle w:val="50"/>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三、本章</w:t>
      </w:r>
      <w:r>
        <w:rPr>
          <w:rFonts w:hint="eastAsia" w:ascii="宋体" w:hAnsi="宋体" w:eastAsia="宋体" w:cs="宋体"/>
          <w:color w:val="auto"/>
          <w:highlight w:val="none"/>
        </w:rPr>
        <w:t>格式中“注”的内容，</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可自行决定是否保留在</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文件中，未保留的视为</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默认接受“注”的内容</w:t>
      </w:r>
      <w:r>
        <w:rPr>
          <w:rFonts w:hint="eastAsia" w:ascii="宋体" w:hAnsi="宋体" w:eastAsia="宋体" w:cs="宋体"/>
          <w:color w:val="auto"/>
          <w:highlight w:val="none"/>
          <w:lang w:eastAsia="zh-CN"/>
        </w:rPr>
        <w:t>。</w:t>
      </w:r>
    </w:p>
    <w:p>
      <w:pPr>
        <w:pStyle w:val="50"/>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、本章所制</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文件格式中需要填写的相关内容事项，可能会与本采购项目无关，在不改变</w:t>
      </w:r>
      <w:r>
        <w:rPr>
          <w:rFonts w:hint="eastAsia" w:ascii="宋体" w:hAnsi="宋体" w:eastAsia="宋体" w:cs="宋体"/>
          <w:color w:val="auto"/>
          <w:highlight w:val="none"/>
          <w:lang w:val="en-US" w:eastAsia="zh-CN"/>
        </w:rPr>
        <w:t>投标文件</w:t>
      </w:r>
      <w:r>
        <w:rPr>
          <w:rFonts w:hint="eastAsia" w:ascii="宋体" w:hAnsi="宋体" w:eastAsia="宋体" w:cs="宋体"/>
          <w:color w:val="auto"/>
          <w:highlight w:val="none"/>
        </w:rPr>
        <w:t>原义、不影响本项目采购需求的情况下，</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可以不予填写，但应当注明。</w:t>
      </w:r>
    </w:p>
    <w:p>
      <w:pPr>
        <w:pStyle w:val="25"/>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8"/>
        <w:bidi w:val="0"/>
        <w:rPr>
          <w:rFonts w:hint="eastAsia" w:ascii="宋体" w:hAnsi="宋体" w:eastAsia="宋体" w:cs="宋体"/>
          <w:color w:val="auto"/>
          <w:highlight w:val="none"/>
        </w:rPr>
      </w:pPr>
      <w:r>
        <w:rPr>
          <w:rFonts w:hint="eastAsia" w:ascii="宋体" w:hAnsi="宋体" w:eastAsia="宋体" w:cs="宋体"/>
          <w:color w:val="auto"/>
          <w:highlight w:val="none"/>
        </w:rPr>
        <w:t>附件：密封袋的格式</w:t>
      </w:r>
    </w:p>
    <w:p>
      <w:pPr>
        <w:pStyle w:val="38"/>
        <w:bidi w:val="0"/>
        <w:rPr>
          <w:rFonts w:hint="eastAsia" w:ascii="宋体" w:hAnsi="宋体" w:eastAsia="宋体" w:cs="宋体"/>
          <w:color w:val="auto"/>
          <w:highlight w:val="none"/>
        </w:rPr>
      </w:pPr>
    </w:p>
    <w:p>
      <w:pPr>
        <w:pStyle w:val="38"/>
        <w:bidi w:val="0"/>
        <w:rPr>
          <w:rFonts w:hint="eastAsia" w:ascii="宋体" w:hAnsi="宋体" w:eastAsia="宋体" w:cs="宋体"/>
          <w:color w:val="auto"/>
          <w:highlight w:val="none"/>
        </w:rPr>
      </w:pPr>
    </w:p>
    <w:p>
      <w:pPr>
        <w:pStyle w:val="38"/>
        <w:bidi w:val="0"/>
        <w:rPr>
          <w:rFonts w:hint="eastAsia" w:ascii="宋体" w:hAnsi="宋体" w:eastAsia="宋体" w:cs="宋体"/>
          <w:color w:val="auto"/>
          <w:highlight w:val="none"/>
        </w:rPr>
      </w:pPr>
    </w:p>
    <w:tbl>
      <w:tblPr>
        <w:tblStyle w:val="19"/>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8"/>
              <w:bidi w:val="0"/>
              <w:rPr>
                <w:rFonts w:hint="eastAsia" w:ascii="宋体" w:hAnsi="宋体" w:eastAsia="宋体" w:cs="宋体"/>
                <w:color w:val="auto"/>
                <w:highlight w:val="none"/>
              </w:rPr>
            </w:pPr>
          </w:p>
          <w:p>
            <w:pPr>
              <w:pStyle w:val="38"/>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highlight w:val="none"/>
              </w:rPr>
              <w:t xml:space="preserve">                   </w:t>
            </w:r>
          </w:p>
          <w:p>
            <w:pPr>
              <w:pStyle w:val="38"/>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highlight w:val="none"/>
              </w:rPr>
              <w:t xml:space="preserve">                   </w:t>
            </w:r>
          </w:p>
          <w:p>
            <w:pPr>
              <w:pStyle w:val="38"/>
              <w:bidi w:val="0"/>
              <w:rPr>
                <w:rFonts w:hint="eastAsia" w:ascii="宋体" w:hAnsi="宋体" w:eastAsia="宋体" w:cs="宋体"/>
                <w:color w:val="auto"/>
                <w:highlight w:val="none"/>
              </w:rPr>
            </w:pPr>
          </w:p>
          <w:p>
            <w:pPr>
              <w:pStyle w:val="38"/>
              <w:bidi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资格、资质性及其他类似效力投标文件</w:t>
            </w:r>
            <w:r>
              <w:rPr>
                <w:rFonts w:hint="eastAsia" w:ascii="宋体" w:hAnsi="宋体" w:eastAsia="宋体" w:cs="宋体"/>
                <w:b/>
                <w:bCs/>
                <w:color w:val="auto"/>
                <w:sz w:val="32"/>
                <w:szCs w:val="32"/>
                <w:highlight w:val="none"/>
                <w:lang w:val="en-US" w:eastAsia="zh-CN"/>
              </w:rPr>
              <w:t>/</w:t>
            </w:r>
            <w:r>
              <w:rPr>
                <w:rFonts w:hint="eastAsia" w:ascii="宋体" w:hAnsi="宋体" w:eastAsia="宋体" w:cs="宋体"/>
                <w:b/>
                <w:bCs/>
                <w:color w:val="auto"/>
                <w:sz w:val="32"/>
                <w:szCs w:val="32"/>
                <w:highlight w:val="none"/>
              </w:rPr>
              <w:t>其他</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文件</w:t>
            </w:r>
          </w:p>
          <w:p>
            <w:pPr>
              <w:pStyle w:val="38"/>
              <w:bidi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/开标一览表</w:t>
            </w:r>
          </w:p>
          <w:p>
            <w:pPr>
              <w:pStyle w:val="38"/>
              <w:bidi w:val="0"/>
              <w:rPr>
                <w:rFonts w:hint="eastAsia" w:ascii="宋体" w:hAnsi="宋体" w:eastAsia="宋体" w:cs="宋体"/>
                <w:color w:val="auto"/>
                <w:highlight w:val="none"/>
              </w:rPr>
            </w:pPr>
          </w:p>
          <w:p>
            <w:pPr>
              <w:pStyle w:val="38"/>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highlight w:val="none"/>
              </w:rPr>
              <w:t xml:space="preserve">                 </w:t>
            </w:r>
          </w:p>
          <w:p>
            <w:pPr>
              <w:pStyle w:val="38"/>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投标日期</w:t>
            </w:r>
            <w:r>
              <w:rPr>
                <w:rFonts w:hint="eastAsia" w:ascii="宋体" w:hAnsi="宋体" w:eastAsia="宋体" w:cs="宋体"/>
                <w:color w:val="auto"/>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highlight w:val="none"/>
              </w:rPr>
              <w:t xml:space="preserve">                   </w:t>
            </w:r>
          </w:p>
          <w:p>
            <w:pPr>
              <w:pStyle w:val="38"/>
              <w:bidi w:val="0"/>
              <w:rPr>
                <w:rFonts w:hint="eastAsia" w:ascii="宋体" w:hAnsi="宋体" w:eastAsia="宋体" w:cs="宋体"/>
                <w:color w:val="auto"/>
                <w:highlight w:val="none"/>
              </w:rPr>
            </w:pPr>
          </w:p>
        </w:tc>
      </w:tr>
    </w:tbl>
    <w:p>
      <w:pPr>
        <w:pStyle w:val="38"/>
        <w:bidi w:val="0"/>
        <w:rPr>
          <w:rFonts w:hint="eastAsia" w:ascii="宋体" w:hAnsi="宋体" w:eastAsia="宋体" w:cs="宋体"/>
          <w:color w:val="auto"/>
          <w:highlight w:val="none"/>
          <w:lang w:val="en-US" w:eastAsia="zh-CN"/>
        </w:rPr>
      </w:pPr>
      <w:bookmarkStart w:id="818" w:name="_Toc6994"/>
      <w:bookmarkStart w:id="819" w:name="_Toc11581"/>
      <w:r>
        <w:rPr>
          <w:rFonts w:hint="eastAsia" w:ascii="宋体" w:hAnsi="宋体" w:eastAsia="宋体" w:cs="宋体"/>
          <w:color w:val="auto"/>
          <w:highlight w:val="none"/>
          <w:lang w:val="en-US" w:eastAsia="zh-CN"/>
        </w:rPr>
        <w:br w:type="page"/>
      </w:r>
    </w:p>
    <w:p>
      <w:pPr>
        <w:pStyle w:val="38"/>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投标文件封面格式</w:t>
      </w:r>
      <w:bookmarkEnd w:id="808"/>
      <w:bookmarkEnd w:id="809"/>
      <w:bookmarkEnd w:id="810"/>
      <w:bookmarkEnd w:id="811"/>
      <w:bookmarkEnd w:id="812"/>
      <w:bookmarkEnd w:id="813"/>
      <w:bookmarkEnd w:id="814"/>
      <w:bookmarkEnd w:id="815"/>
      <w:bookmarkEnd w:id="816"/>
      <w:bookmarkEnd w:id="817"/>
      <w:bookmarkEnd w:id="818"/>
      <w:bookmarkEnd w:id="819"/>
    </w:p>
    <w:p>
      <w:pPr>
        <w:pStyle w:val="38"/>
        <w:bidi w:val="0"/>
        <w:rPr>
          <w:rFonts w:hint="eastAsia" w:ascii="宋体" w:hAnsi="宋体" w:eastAsia="宋体" w:cs="宋体"/>
          <w:color w:val="auto"/>
          <w:highlight w:val="none"/>
        </w:rPr>
      </w:pPr>
      <w:r>
        <w:rPr>
          <w:rFonts w:hint="eastAsia" w:ascii="宋体" w:hAnsi="宋体" w:eastAsia="宋体" w:cs="宋体"/>
          <w:color w:val="auto"/>
          <w:highlight w:val="none"/>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8"/>
        <w:bidi w:val="0"/>
        <w:rPr>
          <w:rFonts w:hint="eastAsia" w:ascii="宋体" w:hAnsi="宋体" w:eastAsia="宋体" w:cs="宋体"/>
          <w:color w:val="auto"/>
          <w:highlight w:val="none"/>
        </w:rPr>
      </w:pPr>
    </w:p>
    <w:p>
      <w:pPr>
        <w:pStyle w:val="38"/>
        <w:bidi w:val="0"/>
        <w:rPr>
          <w:rFonts w:hint="eastAsia" w:ascii="宋体" w:hAnsi="宋体" w:eastAsia="宋体" w:cs="宋体"/>
          <w:color w:val="auto"/>
          <w:highlight w:val="none"/>
        </w:rPr>
      </w:pPr>
    </w:p>
    <w:p>
      <w:pPr>
        <w:pStyle w:val="38"/>
        <w:bidi w:val="0"/>
        <w:rPr>
          <w:rFonts w:hint="eastAsia" w:ascii="宋体" w:hAnsi="宋体" w:eastAsia="宋体" w:cs="宋体"/>
          <w:color w:val="auto"/>
          <w:highlight w:val="none"/>
        </w:rPr>
      </w:pPr>
    </w:p>
    <w:p>
      <w:pPr>
        <w:pStyle w:val="3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48"/>
          <w:szCs w:val="48"/>
          <w:highlight w:val="none"/>
          <w:lang w:eastAsia="zh-CN"/>
        </w:rPr>
      </w:pPr>
    </w:p>
    <w:p>
      <w:pPr>
        <w:pStyle w:val="3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资格、资质性及其他类似效力投标文件</w:t>
      </w:r>
    </w:p>
    <w:p>
      <w:pPr>
        <w:pStyle w:val="38"/>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lang w:val="en-US" w:eastAsia="zh-CN"/>
        </w:rPr>
        <w:t>/</w:t>
      </w:r>
      <w:r>
        <w:rPr>
          <w:rFonts w:hint="eastAsia" w:ascii="宋体" w:hAnsi="宋体" w:eastAsia="宋体" w:cs="宋体"/>
          <w:b/>
          <w:bCs/>
          <w:color w:val="auto"/>
          <w:sz w:val="48"/>
          <w:szCs w:val="48"/>
          <w:highlight w:val="none"/>
        </w:rPr>
        <w:t>其他</w:t>
      </w:r>
      <w:r>
        <w:rPr>
          <w:rFonts w:hint="eastAsia" w:ascii="宋体" w:hAnsi="宋体" w:eastAsia="宋体" w:cs="宋体"/>
          <w:b/>
          <w:bCs/>
          <w:color w:val="auto"/>
          <w:sz w:val="48"/>
          <w:szCs w:val="48"/>
          <w:highlight w:val="none"/>
          <w:lang w:val="en-US" w:eastAsia="zh-CN"/>
        </w:rPr>
        <w:t>投标</w:t>
      </w:r>
      <w:r>
        <w:rPr>
          <w:rFonts w:hint="eastAsia" w:ascii="宋体" w:hAnsi="宋体" w:eastAsia="宋体" w:cs="宋体"/>
          <w:b/>
          <w:bCs/>
          <w:color w:val="auto"/>
          <w:sz w:val="48"/>
          <w:szCs w:val="48"/>
          <w:highlight w:val="none"/>
        </w:rPr>
        <w:t>文件</w:t>
      </w:r>
    </w:p>
    <w:p>
      <w:pPr>
        <w:pStyle w:val="38"/>
        <w:bidi w:val="0"/>
        <w:rPr>
          <w:rFonts w:hint="eastAsia" w:ascii="宋体" w:hAnsi="宋体" w:eastAsia="宋体" w:cs="宋体"/>
          <w:color w:val="auto"/>
          <w:highlight w:val="none"/>
        </w:rPr>
      </w:pPr>
    </w:p>
    <w:p>
      <w:pPr>
        <w:pStyle w:val="3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color w:val="auto"/>
          <w:sz w:val="32"/>
          <w:szCs w:val="32"/>
          <w:highlight w:val="none"/>
        </w:rPr>
      </w:pPr>
    </w:p>
    <w:p>
      <w:pPr>
        <w:pStyle w:val="3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color w:val="auto"/>
          <w:sz w:val="32"/>
          <w:szCs w:val="32"/>
          <w:highlight w:val="none"/>
        </w:rPr>
      </w:pPr>
    </w:p>
    <w:p>
      <w:pPr>
        <w:pStyle w:val="3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color w:val="auto"/>
          <w:sz w:val="32"/>
          <w:szCs w:val="32"/>
          <w:highlight w:val="none"/>
        </w:rPr>
      </w:pPr>
    </w:p>
    <w:p>
      <w:pPr>
        <w:pStyle w:val="3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color w:val="auto"/>
          <w:sz w:val="32"/>
          <w:szCs w:val="32"/>
          <w:highlight w:val="none"/>
        </w:rPr>
      </w:pPr>
    </w:p>
    <w:p>
      <w:pPr>
        <w:pStyle w:val="3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pPr>
        <w:pStyle w:val="3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项目编号：</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pPr>
        <w:pStyle w:val="3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 xml:space="preserve">     </w:t>
      </w:r>
    </w:p>
    <w:p>
      <w:pPr>
        <w:pStyle w:val="38"/>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投标日期：</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pPr>
        <w:pStyle w:val="25"/>
        <w:bidi w:val="0"/>
        <w:rPr>
          <w:rFonts w:hint="eastAsia" w:ascii="宋体" w:hAnsi="宋体" w:eastAsia="宋体" w:cs="宋体"/>
          <w:color w:val="auto"/>
          <w:highlight w:val="none"/>
        </w:rPr>
      </w:pPr>
      <w:bookmarkStart w:id="820" w:name="_Toc5565"/>
      <w:bookmarkStart w:id="821" w:name="_Toc11556"/>
      <w:bookmarkStart w:id="822" w:name="_Toc31011"/>
      <w:bookmarkStart w:id="823" w:name="_Toc5306"/>
      <w:r>
        <w:rPr>
          <w:rFonts w:hint="eastAsia" w:ascii="宋体" w:hAnsi="宋体" w:eastAsia="宋体" w:cs="宋体"/>
          <w:color w:val="auto"/>
          <w:highlight w:val="none"/>
        </w:rPr>
        <w:br w:type="page"/>
      </w:r>
    </w:p>
    <w:bookmarkEnd w:id="820"/>
    <w:bookmarkEnd w:id="821"/>
    <w:bookmarkEnd w:id="822"/>
    <w:bookmarkEnd w:id="823"/>
    <w:p>
      <w:pPr>
        <w:pStyle w:val="25"/>
        <w:bidi w:val="0"/>
        <w:rPr>
          <w:rFonts w:hint="eastAsia" w:ascii="宋体" w:hAnsi="宋体" w:eastAsia="宋体" w:cs="宋体"/>
          <w:color w:val="auto"/>
          <w:highlight w:val="none"/>
        </w:rPr>
      </w:pPr>
      <w:bookmarkStart w:id="824" w:name="_Toc15611"/>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lang w:val="en-US" w:eastAsia="zh-CN"/>
        </w:rPr>
      </w:pPr>
      <w:bookmarkStart w:id="825" w:name="_Toc24630"/>
    </w:p>
    <w:p>
      <w:pPr>
        <w:pStyle w:val="25"/>
        <w:bidi w:val="0"/>
        <w:rPr>
          <w:rFonts w:hint="eastAsia" w:ascii="宋体" w:hAnsi="宋体" w:eastAsia="宋体" w:cs="宋体"/>
          <w:color w:val="auto"/>
          <w:highlight w:val="none"/>
          <w:lang w:val="en-US" w:eastAsia="zh-CN"/>
        </w:rPr>
      </w:pPr>
    </w:p>
    <w:p>
      <w:pPr>
        <w:pStyle w:val="25"/>
        <w:bidi w:val="0"/>
        <w:rPr>
          <w:rFonts w:hint="eastAsia" w:ascii="宋体" w:hAnsi="宋体" w:eastAsia="宋体" w:cs="宋体"/>
          <w:color w:val="auto"/>
          <w:highlight w:val="none"/>
          <w:lang w:val="en-US" w:eastAsia="zh-CN"/>
        </w:rPr>
      </w:pPr>
    </w:p>
    <w:p>
      <w:pPr>
        <w:pStyle w:val="25"/>
        <w:bidi w:val="0"/>
        <w:rPr>
          <w:rFonts w:hint="eastAsia" w:ascii="宋体" w:hAnsi="宋体" w:eastAsia="宋体" w:cs="宋体"/>
          <w:color w:val="auto"/>
          <w:highlight w:val="none"/>
          <w:lang w:val="en-US" w:eastAsia="zh-CN"/>
        </w:rPr>
      </w:pPr>
    </w:p>
    <w:p>
      <w:pPr>
        <w:pStyle w:val="25"/>
        <w:bidi w:val="0"/>
        <w:rPr>
          <w:rFonts w:hint="eastAsia" w:ascii="宋体" w:hAnsi="宋体" w:eastAsia="宋体" w:cs="宋体"/>
          <w:color w:val="auto"/>
          <w:highlight w:val="none"/>
          <w:lang w:val="en-US" w:eastAsia="zh-CN"/>
        </w:rPr>
      </w:pPr>
    </w:p>
    <w:p>
      <w:pPr>
        <w:pStyle w:val="26"/>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ascii="宋体" w:hAnsi="宋体" w:eastAsia="宋体" w:cs="宋体"/>
          <w:color w:val="auto"/>
          <w:sz w:val="32"/>
          <w:szCs w:val="32"/>
          <w:highlight w:val="none"/>
        </w:rPr>
      </w:pPr>
      <w:bookmarkStart w:id="826" w:name="_Toc14815"/>
      <w:r>
        <w:rPr>
          <w:rFonts w:hint="eastAsia" w:ascii="宋体" w:hAnsi="宋体" w:eastAsia="宋体" w:cs="宋体"/>
          <w:color w:val="auto"/>
          <w:sz w:val="32"/>
          <w:szCs w:val="32"/>
          <w:highlight w:val="none"/>
          <w:lang w:val="en-US" w:eastAsia="zh-CN"/>
        </w:rPr>
        <w:t>第一部</w:t>
      </w:r>
      <w:r>
        <w:rPr>
          <w:rFonts w:hint="eastAsia" w:ascii="宋体" w:hAnsi="宋体" w:eastAsia="宋体" w:cs="宋体"/>
          <w:color w:val="auto"/>
          <w:sz w:val="32"/>
          <w:szCs w:val="32"/>
          <w:highlight w:val="none"/>
        </w:rPr>
        <w:t>分 资格、资质性及其他类似效力</w:t>
      </w:r>
      <w:r>
        <w:rPr>
          <w:rFonts w:hint="eastAsia" w:ascii="宋体" w:hAnsi="宋体" w:eastAsia="宋体" w:cs="宋体"/>
          <w:color w:val="auto"/>
          <w:sz w:val="32"/>
          <w:szCs w:val="32"/>
          <w:highlight w:val="none"/>
          <w:lang w:val="en-US" w:eastAsia="zh-CN"/>
        </w:rPr>
        <w:t>投标</w:t>
      </w:r>
      <w:r>
        <w:rPr>
          <w:rFonts w:hint="eastAsia" w:ascii="宋体" w:hAnsi="宋体" w:eastAsia="宋体" w:cs="宋体"/>
          <w:color w:val="auto"/>
          <w:sz w:val="32"/>
          <w:szCs w:val="32"/>
          <w:highlight w:val="none"/>
        </w:rPr>
        <w:t>文件(格式)</w:t>
      </w:r>
      <w:bookmarkEnd w:id="824"/>
      <w:bookmarkEnd w:id="825"/>
      <w:bookmarkEnd w:id="826"/>
      <w:bookmarkStart w:id="827" w:name="_Toc23537"/>
      <w:bookmarkStart w:id="828" w:name="_Toc16168"/>
    </w:p>
    <w:p>
      <w:pPr>
        <w:pStyle w:val="25"/>
        <w:bidi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827"/>
      <w:bookmarkEnd w:id="828"/>
      <w:bookmarkStart w:id="829" w:name="_Toc26837"/>
      <w:bookmarkStart w:id="830" w:name="_Toc4996"/>
    </w:p>
    <w:p>
      <w:pPr>
        <w:pStyle w:val="47"/>
        <w:numPr>
          <w:ilvl w:val="0"/>
          <w:numId w:val="18"/>
        </w:numPr>
        <w:bidi w:val="0"/>
        <w:ind w:left="0" w:leftChars="0" w:firstLine="0" w:firstLineChars="0"/>
        <w:rPr>
          <w:rFonts w:hint="eastAsia" w:ascii="宋体" w:hAnsi="宋体" w:eastAsia="宋体" w:cs="宋体"/>
          <w:color w:val="auto"/>
          <w:highlight w:val="none"/>
        </w:rPr>
      </w:pPr>
      <w:bookmarkStart w:id="831" w:name="_Toc26089"/>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/单位负责人</w:t>
      </w:r>
      <w:r>
        <w:rPr>
          <w:rFonts w:hint="eastAsia" w:ascii="宋体" w:hAnsi="宋体" w:eastAsia="宋体" w:cs="宋体"/>
          <w:color w:val="auto"/>
          <w:highlight w:val="none"/>
        </w:rPr>
        <w:t>授权书</w:t>
      </w:r>
      <w:bookmarkEnd w:id="829"/>
      <w:bookmarkEnd w:id="830"/>
      <w:bookmarkEnd w:id="831"/>
    </w:p>
    <w:p>
      <w:pPr>
        <w:pStyle w:val="25"/>
        <w:bidi w:val="0"/>
        <w:rPr>
          <w:rFonts w:hint="eastAsia" w:ascii="宋体" w:hAnsi="宋体" w:eastAsia="宋体" w:cs="宋体"/>
          <w:color w:val="auto"/>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highlight w:val="none"/>
        </w:rPr>
        <w:t>(采购代理机构名称)：</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本授权声明：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/单位负责人</w:t>
      </w:r>
      <w:r>
        <w:rPr>
          <w:rFonts w:hint="eastAsia" w:ascii="宋体" w:hAnsi="宋体" w:eastAsia="宋体" w:cs="宋体"/>
          <w:color w:val="auto"/>
          <w:highlight w:val="none"/>
        </w:rPr>
        <w:t>姓名、职务)授权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highlight w:val="none"/>
        </w:rPr>
        <w:t>(被授权人姓名、职务、身份证号码)为我方参加“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(项目编号</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活动的合法代表，以我方名义全权处理该项目有关</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、签订合同以及执行合同等一切事宜，我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均予承认，所产生的法律后果均由我单位承担。</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/单位负责人</w:t>
      </w:r>
      <w:r>
        <w:rPr>
          <w:rFonts w:hint="eastAsia" w:ascii="宋体" w:hAnsi="宋体" w:eastAsia="宋体" w:cs="宋体"/>
          <w:color w:val="auto"/>
          <w:highlight w:val="none"/>
        </w:rPr>
        <w:t>：</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lang w:val="en-US" w:eastAsia="zh-CN"/>
        </w:rPr>
        <w:t>)</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授权代表：</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lang w:val="en-US" w:eastAsia="zh-CN"/>
        </w:rPr>
        <w:t>)</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highlight w:val="none"/>
        </w:rPr>
        <w:t>(盖章)</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highlight w:val="none"/>
          <w:lang w:val="en-US" w:eastAsia="zh-CN"/>
        </w:rPr>
        <w:t xml:space="preserve">     </w:t>
      </w:r>
    </w:p>
    <w:p>
      <w:pPr>
        <w:pStyle w:val="25"/>
        <w:bidi w:val="0"/>
        <w:rPr>
          <w:rFonts w:hint="eastAsia" w:ascii="宋体" w:hAnsi="宋体" w:eastAsia="宋体" w:cs="宋体"/>
          <w:color w:val="auto"/>
          <w:highlight w:val="none"/>
        </w:rPr>
      </w:pP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val="en-US" w:eastAsia="zh-CN"/>
        </w:rPr>
        <w:t>1.法定代表人/单位负责人</w:t>
      </w:r>
      <w:r>
        <w:rPr>
          <w:rFonts w:hint="eastAsia" w:ascii="宋体" w:hAnsi="宋体" w:eastAsia="宋体" w:cs="宋体"/>
          <w:color w:val="auto"/>
          <w:highlight w:val="none"/>
        </w:rPr>
        <w:t>不亲自参加</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，而授权代表参加</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的适用。</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供应商为法人单位时提供“法定代表人授权书”，供应商为其他组织时提供“负责人授权书”，供应商为自然人时提供“自然人身份证明材料”。</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应附法定代表人/单位负责人身份证明材料复印件和授权代表身份证明材料复印件。</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身份证明材料包括居民身份证或户口本或军官证或护照等。</w:t>
      </w:r>
    </w:p>
    <w:p>
      <w:pPr>
        <w:pStyle w:val="4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身份证明材料应同时提供其在有效期的材料，如居民身份证正、反面复印件</w:t>
      </w:r>
      <w:r>
        <w:rPr>
          <w:rFonts w:hint="eastAsia" w:ascii="宋体" w:hAnsi="宋体" w:eastAsia="宋体" w:cs="宋体"/>
          <w:color w:val="auto"/>
          <w:highlight w:val="none"/>
          <w:lang w:eastAsia="zh-CN"/>
        </w:rPr>
        <w:t>。</w:t>
      </w:r>
    </w:p>
    <w:p>
      <w:pPr>
        <w:pStyle w:val="25"/>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7"/>
        <w:numPr>
          <w:ilvl w:val="0"/>
          <w:numId w:val="19"/>
        </w:numPr>
        <w:bidi w:val="0"/>
        <w:ind w:left="0" w:leftChars="0" w:firstLine="0" w:firstLineChars="0"/>
        <w:rPr>
          <w:rFonts w:hint="eastAsia" w:ascii="宋体" w:hAnsi="宋体" w:eastAsia="宋体" w:cs="宋体"/>
          <w:color w:val="auto"/>
          <w:highlight w:val="none"/>
          <w:lang w:val="en-US" w:eastAsia="zh-CN"/>
        </w:rPr>
      </w:pPr>
      <w:bookmarkStart w:id="832" w:name="_Toc9243"/>
      <w:bookmarkStart w:id="833" w:name="_Toc5501"/>
      <w:bookmarkStart w:id="834" w:name="_Toc23036"/>
      <w:bookmarkStart w:id="835" w:name="_Toc9688"/>
      <w:bookmarkStart w:id="836" w:name="_Toc22140"/>
      <w:r>
        <w:rPr>
          <w:rFonts w:hint="eastAsia" w:ascii="宋体" w:hAnsi="宋体" w:eastAsia="宋体" w:cs="宋体"/>
          <w:color w:val="auto"/>
          <w:highlight w:val="none"/>
          <w:lang w:val="en-US" w:eastAsia="zh-CN"/>
        </w:rPr>
        <w:t>法定代表人/单位负责人证明书</w:t>
      </w:r>
      <w:bookmarkEnd w:id="832"/>
      <w:bookmarkEnd w:id="833"/>
      <w:bookmarkEnd w:id="834"/>
      <w:bookmarkEnd w:id="835"/>
      <w:bookmarkEnd w:id="836"/>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highlight w:val="none"/>
        </w:rPr>
        <w:t xml:space="preserve">                            </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highlight w:val="none"/>
        </w:rPr>
        <w:t xml:space="preserve">                            </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highlight w:val="none"/>
        </w:rPr>
        <w:t xml:space="preserve">            </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本人系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名称)的法定代表人</w:t>
      </w:r>
      <w:r>
        <w:rPr>
          <w:rFonts w:hint="eastAsia" w:ascii="宋体" w:hAnsi="宋体" w:eastAsia="宋体" w:cs="宋体"/>
          <w:color w:val="auto"/>
          <w:highlight w:val="none"/>
          <w:lang w:val="en-US" w:eastAsia="zh-CN"/>
        </w:rPr>
        <w:t>/单位负责人</w:t>
      </w:r>
      <w:r>
        <w:rPr>
          <w:rFonts w:hint="eastAsia" w:ascii="宋体" w:hAnsi="宋体" w:eastAsia="宋体" w:cs="宋体"/>
          <w:color w:val="auto"/>
          <w:highlight w:val="none"/>
        </w:rPr>
        <w:t>。就参加你单位组织的“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项目名称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(项目编号</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活动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并参与项目的</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、签订合同以及执行合同等一切事宜，我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均予承认，所产生的法律后果均由我单位承担。</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(盖章) </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/单位负责人</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(签字或盖章)</w:t>
      </w:r>
    </w:p>
    <w:p>
      <w:pPr>
        <w:pStyle w:val="29"/>
        <w:bidi w:val="0"/>
        <w:rPr>
          <w:rFonts w:hint="eastAsia" w:ascii="宋体" w:hAnsi="宋体" w:eastAsia="宋体" w:cs="宋体"/>
          <w:color w:val="auto"/>
          <w:highlight w:val="none"/>
          <w:u w:val="single"/>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pStyle w:val="29"/>
        <w:bidi w:val="0"/>
        <w:rPr>
          <w:rFonts w:hint="eastAsia" w:ascii="宋体" w:hAnsi="宋体" w:eastAsia="宋体" w:cs="宋体"/>
          <w:color w:val="auto"/>
          <w:highlight w:val="none"/>
        </w:rPr>
      </w:pP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法定代表人/单位负责人亲自参加</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时适用本证明书。</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应附法定代表人/单位负责人身份证明材料复印件。</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身份证明材料包括居民身份证或户口本或军官证或护照等。</w:t>
      </w:r>
    </w:p>
    <w:p>
      <w:pPr>
        <w:pStyle w:val="49"/>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身份证明材料应同时提供其在有效期的材料，如居民身份证正、反面复印件</w:t>
      </w:r>
      <w:r>
        <w:rPr>
          <w:rFonts w:hint="eastAsia" w:ascii="宋体" w:hAnsi="宋体" w:eastAsia="宋体" w:cs="宋体"/>
          <w:color w:val="auto"/>
          <w:highlight w:val="none"/>
          <w:lang w:eastAsia="zh-CN"/>
        </w:rPr>
        <w:t>。</w:t>
      </w:r>
    </w:p>
    <w:p>
      <w:pPr>
        <w:pStyle w:val="47"/>
        <w:numPr>
          <w:ilvl w:val="0"/>
          <w:numId w:val="19"/>
        </w:numPr>
        <w:bidi w:val="0"/>
        <w:ind w:left="0" w:leftChars="0" w:firstLine="0" w:firstLineChars="0"/>
        <w:rPr>
          <w:rFonts w:hint="eastAsia" w:ascii="宋体" w:hAnsi="宋体" w:eastAsia="宋体" w:cs="宋体"/>
          <w:color w:val="auto"/>
          <w:highlight w:val="none"/>
          <w:lang w:val="en-US" w:eastAsia="zh-CN"/>
        </w:rPr>
      </w:pPr>
      <w:bookmarkStart w:id="837" w:name="_Toc25184"/>
      <w:bookmarkStart w:id="838" w:name="_Toc28837"/>
      <w:bookmarkStart w:id="839" w:name="_Toc22152"/>
      <w:bookmarkStart w:id="840" w:name="_Toc28397"/>
      <w:bookmarkStart w:id="841" w:name="_Toc3822"/>
      <w:bookmarkStart w:id="842" w:name="_Toc28024"/>
      <w:bookmarkStart w:id="843" w:name="_Toc29937"/>
      <w:bookmarkStart w:id="844" w:name="_Toc14566"/>
      <w:r>
        <w:rPr>
          <w:rFonts w:hint="eastAsia" w:ascii="宋体" w:hAnsi="宋体" w:eastAsia="宋体" w:cs="宋体"/>
          <w:color w:val="auto"/>
          <w:highlight w:val="none"/>
          <w:lang w:val="en-US" w:eastAsia="zh-CN"/>
        </w:rPr>
        <w:t>具有独立承担民事责任的能力的证明材料</w:t>
      </w:r>
      <w:bookmarkEnd w:id="837"/>
      <w:bookmarkEnd w:id="838"/>
      <w:bookmarkEnd w:id="839"/>
    </w:p>
    <w:p>
      <w:pPr>
        <w:pStyle w:val="29"/>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①</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若为企业法人：提供“营业执照”</w:t>
      </w:r>
      <w:r>
        <w:rPr>
          <w:rFonts w:hint="eastAsia" w:ascii="宋体" w:hAnsi="宋体" w:eastAsia="宋体" w:cs="宋体"/>
          <w:color w:val="auto"/>
          <w:highlight w:val="none"/>
          <w:lang w:val="en-US" w:eastAsia="zh-CN"/>
        </w:rPr>
        <w:t>副本复印件</w:t>
      </w:r>
      <w:r>
        <w:rPr>
          <w:rFonts w:hint="eastAsia" w:ascii="宋体" w:hAnsi="宋体" w:eastAsia="宋体" w:cs="宋体"/>
          <w:color w:val="auto"/>
          <w:highlight w:val="none"/>
        </w:rPr>
        <w:t>；未换证的提供“营业执照</w:t>
      </w:r>
      <w:r>
        <w:rPr>
          <w:rFonts w:hint="eastAsia" w:ascii="宋体" w:hAnsi="宋体" w:eastAsia="宋体" w:cs="宋体"/>
          <w:color w:val="auto"/>
          <w:highlight w:val="none"/>
          <w:lang w:val="en-US" w:eastAsia="zh-CN"/>
        </w:rPr>
        <w:t>副本</w:t>
      </w:r>
      <w:r>
        <w:rPr>
          <w:rFonts w:hint="eastAsia" w:ascii="宋体" w:hAnsi="宋体" w:eastAsia="宋体" w:cs="宋体"/>
          <w:color w:val="auto"/>
          <w:highlight w:val="none"/>
        </w:rPr>
        <w:t>、税务登记证</w:t>
      </w:r>
      <w:r>
        <w:rPr>
          <w:rFonts w:hint="eastAsia" w:ascii="宋体" w:hAnsi="宋体" w:eastAsia="宋体" w:cs="宋体"/>
          <w:color w:val="auto"/>
          <w:highlight w:val="none"/>
          <w:lang w:val="en-US" w:eastAsia="zh-CN"/>
        </w:rPr>
        <w:t>副本</w:t>
      </w:r>
      <w:r>
        <w:rPr>
          <w:rFonts w:hint="eastAsia" w:ascii="宋体" w:hAnsi="宋体" w:eastAsia="宋体" w:cs="宋体"/>
          <w:color w:val="auto"/>
          <w:highlight w:val="none"/>
        </w:rPr>
        <w:t>、组织机构代码证</w:t>
      </w:r>
      <w:r>
        <w:rPr>
          <w:rFonts w:hint="eastAsia" w:ascii="宋体" w:hAnsi="宋体" w:eastAsia="宋体" w:cs="宋体"/>
          <w:color w:val="auto"/>
          <w:highlight w:val="none"/>
          <w:lang w:val="en-US" w:eastAsia="zh-CN"/>
        </w:rPr>
        <w:t>副本</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；②若为事业法人：提供“统一社会信用代码法人登记证书”</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；未换证的提交“事业法人登记证书、组织机构代码证”</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；③若为其他组织：提供“对应主管部门颁发的准许执业证明文件或营业执照</w:t>
      </w:r>
      <w:r>
        <w:rPr>
          <w:rFonts w:hint="eastAsia" w:ascii="宋体" w:hAnsi="宋体" w:eastAsia="宋体" w:cs="宋体"/>
          <w:color w:val="auto"/>
          <w:highlight w:val="none"/>
          <w:lang w:val="en-US" w:eastAsia="zh-CN"/>
        </w:rPr>
        <w:t>副本</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；④若为自然人：提供“身份证明材料”</w:t>
      </w:r>
      <w:r>
        <w:rPr>
          <w:rFonts w:hint="eastAsia" w:ascii="宋体" w:hAnsi="宋体" w:eastAsia="宋体" w:cs="宋体"/>
          <w:color w:val="auto"/>
          <w:highlight w:val="none"/>
          <w:lang w:eastAsia="zh-CN"/>
        </w:rPr>
        <w:t>。</w:t>
      </w:r>
    </w:p>
    <w:bookmarkEnd w:id="840"/>
    <w:p>
      <w:pPr>
        <w:pStyle w:val="4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注：1.以上证明材料应满足此条要求①发证机关有年检要求的，应按规定通过年检；②在有效期内；③复印件加盖投标人公章；</w:t>
      </w:r>
    </w:p>
    <w:p>
      <w:pPr>
        <w:pStyle w:val="4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bookmarkEnd w:id="841"/>
      <w:r>
        <w:rPr>
          <w:rFonts w:hint="eastAsia" w:ascii="宋体" w:hAnsi="宋体" w:eastAsia="宋体" w:cs="宋体"/>
          <w:color w:val="auto"/>
          <w:highlight w:val="none"/>
          <w:lang w:val="en-US" w:eastAsia="zh-CN"/>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根据国务院办公厅关于加快推进“多证合一”改革的指导意见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国办发</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2017</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41号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等政策要求，若资格要求涉及的登记、备案等有关事项和各类证照已实行多证合一</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lang w:eastAsia="zh-CN"/>
        </w:rPr>
        <w:t>提供多证合一证照</w:t>
      </w:r>
      <w:r>
        <w:rPr>
          <w:rFonts w:hint="eastAsia" w:ascii="宋体" w:hAnsi="宋体" w:eastAsia="宋体" w:cs="宋体"/>
          <w:color w:val="auto"/>
          <w:highlight w:val="none"/>
          <w:lang w:val="en-US" w:eastAsia="zh-CN"/>
        </w:rPr>
        <w:t>副本</w:t>
      </w:r>
      <w:r>
        <w:rPr>
          <w:rFonts w:hint="eastAsia" w:ascii="宋体" w:hAnsi="宋体" w:eastAsia="宋体" w:cs="宋体"/>
          <w:color w:val="auto"/>
          <w:highlight w:val="none"/>
          <w:lang w:eastAsia="zh-CN"/>
        </w:rPr>
        <w:t>复印件</w:t>
      </w:r>
      <w:r>
        <w:rPr>
          <w:rFonts w:hint="eastAsia" w:ascii="宋体" w:hAnsi="宋体" w:eastAsia="宋体" w:cs="宋体"/>
          <w:color w:val="auto"/>
          <w:highlight w:val="none"/>
        </w:rPr>
        <w:t>。</w:t>
      </w:r>
    </w:p>
    <w:p>
      <w:pPr>
        <w:pStyle w:val="25"/>
        <w:bidi w:val="0"/>
        <w:rPr>
          <w:rFonts w:hint="eastAsia" w:ascii="宋体" w:hAnsi="宋体" w:eastAsia="宋体" w:cs="宋体"/>
          <w:color w:val="auto"/>
          <w:highlight w:val="none"/>
          <w:lang w:val="en-US" w:eastAsia="zh-CN"/>
        </w:rPr>
      </w:pPr>
    </w:p>
    <w:p>
      <w:pPr>
        <w:pStyle w:val="47"/>
        <w:numPr>
          <w:ilvl w:val="0"/>
          <w:numId w:val="19"/>
        </w:numPr>
        <w:bidi w:val="0"/>
        <w:ind w:left="0" w:leftChars="0" w:firstLine="0" w:firstLineChars="0"/>
        <w:rPr>
          <w:rFonts w:hint="eastAsia" w:ascii="宋体" w:hAnsi="宋体" w:eastAsia="宋体" w:cs="宋体"/>
          <w:color w:val="auto"/>
          <w:highlight w:val="none"/>
          <w:lang w:val="en-US" w:eastAsia="zh-CN"/>
        </w:rPr>
      </w:pPr>
      <w:bookmarkStart w:id="845" w:name="_Toc29649"/>
      <w:r>
        <w:rPr>
          <w:rFonts w:hint="eastAsia" w:ascii="宋体" w:hAnsi="宋体" w:eastAsia="宋体" w:cs="宋体"/>
          <w:color w:val="auto"/>
          <w:highlight w:val="none"/>
          <w:lang w:val="en-US" w:eastAsia="zh-CN"/>
        </w:rPr>
        <w:t>投标人具有良好的商业信誉和健全的财务会计制度的证明材料</w:t>
      </w:r>
      <w:bookmarkEnd w:id="842"/>
      <w:bookmarkEnd w:id="843"/>
      <w:bookmarkEnd w:id="845"/>
    </w:p>
    <w:bookmarkEnd w:id="844"/>
    <w:p>
      <w:pPr>
        <w:pStyle w:val="29"/>
        <w:bidi w:val="0"/>
        <w:rPr>
          <w:rFonts w:hint="eastAsia" w:ascii="宋体" w:hAnsi="宋体" w:eastAsia="宋体" w:cs="宋体"/>
          <w:color w:val="auto"/>
          <w:highlight w:val="none"/>
          <w:lang w:val="en-US" w:eastAsia="zh-CN"/>
        </w:rPr>
      </w:pPr>
      <w:bookmarkStart w:id="846" w:name="_Toc17744"/>
      <w:bookmarkStart w:id="847" w:name="_Toc19866"/>
      <w:bookmarkStart w:id="848" w:name="_Toc5443"/>
      <w:r>
        <w:rPr>
          <w:rFonts w:hint="eastAsia" w:ascii="宋体" w:hAnsi="宋体" w:eastAsia="宋体" w:cs="宋体"/>
          <w:color w:val="auto"/>
          <w:highlight w:val="none"/>
          <w:lang w:val="en-US" w:eastAsia="zh-CN"/>
        </w:rPr>
        <w:t>1.投标人</w:t>
      </w:r>
      <w:r>
        <w:rPr>
          <w:rFonts w:hint="eastAsia" w:ascii="宋体" w:hAnsi="宋体" w:eastAsia="宋体" w:cs="宋体"/>
          <w:color w:val="auto"/>
          <w:highlight w:val="none"/>
        </w:rPr>
        <w:t>具</w:t>
      </w:r>
      <w:r>
        <w:rPr>
          <w:rFonts w:hint="eastAsia" w:ascii="宋体" w:hAnsi="宋体" w:eastAsia="宋体" w:cs="宋体"/>
          <w:color w:val="auto"/>
          <w:highlight w:val="none"/>
          <w:lang w:val="en-US" w:eastAsia="zh-CN"/>
        </w:rPr>
        <w:t>有</w:t>
      </w:r>
      <w:r>
        <w:rPr>
          <w:rFonts w:hint="eastAsia" w:ascii="宋体" w:hAnsi="宋体" w:eastAsia="宋体" w:cs="宋体"/>
          <w:color w:val="auto"/>
          <w:highlight w:val="none"/>
        </w:rPr>
        <w:t>良好商业信誉的证明材料</w:t>
      </w:r>
      <w:r>
        <w:rPr>
          <w:rFonts w:hint="eastAsia" w:ascii="宋体" w:hAnsi="宋体" w:eastAsia="宋体" w:cs="宋体"/>
          <w:color w:val="auto"/>
          <w:highlight w:val="none"/>
          <w:lang w:eastAsia="zh-CN"/>
        </w:rPr>
        <w:t>；</w:t>
      </w:r>
    </w:p>
    <w:p>
      <w:pPr>
        <w:pStyle w:val="29"/>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rPr>
        <w:t>具</w:t>
      </w:r>
      <w:r>
        <w:rPr>
          <w:rFonts w:hint="eastAsia" w:ascii="宋体" w:hAnsi="宋体" w:eastAsia="宋体" w:cs="宋体"/>
          <w:color w:val="auto"/>
          <w:highlight w:val="none"/>
          <w:lang w:val="en-US" w:eastAsia="zh-CN"/>
        </w:rPr>
        <w:t>有</w:t>
      </w:r>
      <w:r>
        <w:rPr>
          <w:rFonts w:hint="eastAsia" w:ascii="宋体" w:hAnsi="宋体" w:eastAsia="宋体" w:cs="宋体"/>
          <w:color w:val="auto"/>
          <w:highlight w:val="none"/>
        </w:rPr>
        <w:t>良好</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商业信誉</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承诺函</w:t>
      </w:r>
      <w:r>
        <w:rPr>
          <w:rFonts w:hint="eastAsia" w:ascii="宋体" w:hAnsi="宋体" w:eastAsia="宋体" w:cs="宋体"/>
          <w:color w:val="auto"/>
          <w:highlight w:val="none"/>
          <w:lang w:eastAsia="zh-CN"/>
        </w:rPr>
        <w:t>。</w:t>
      </w:r>
    </w:p>
    <w:p>
      <w:pPr>
        <w:pStyle w:val="29"/>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2.投标人具有健全的财务会计制度的证明材料；</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(1)投标人提供2019年度或2020年度经过会计师事务所审计的财务报告复印件(经审计的有效财务报告应包括报告及报告中所附的完整内容，并由注册会计师签名、盖章以及会计师事务所盖章)；</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(2)投标人提供2020年度投标人内部的财务报表复印件(至少包含资产负债表)；</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(3)投标人提供投标文件递交截止日前一年内银行为其出具的资信证明复印件；</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(4)投标人注册时间截至投标文件递交截止日不足一年的，可提供公司章程复印件；</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(5)投标人为事业单位或其他组织(不具备法人条件的组织，如</w:t>
      </w:r>
      <w:r>
        <w:rPr>
          <w:rFonts w:hint="eastAsia" w:ascii="宋体" w:hAnsi="宋体" w:eastAsia="宋体" w:cs="宋体"/>
          <w:color w:val="auto"/>
          <w:highlight w:val="none"/>
        </w:rPr>
        <w:t>合伙组织、个体工商户、农村承包经营户</w:t>
      </w:r>
      <w:r>
        <w:rPr>
          <w:rFonts w:hint="eastAsia" w:ascii="宋体" w:hAnsi="宋体" w:eastAsia="宋体" w:cs="宋体"/>
          <w:color w:val="auto"/>
          <w:highlight w:val="none"/>
          <w:lang w:val="en-US" w:eastAsia="zh-CN"/>
        </w:rPr>
        <w:t>等)或自然人时，可提供承诺函。</w:t>
      </w:r>
    </w:p>
    <w:p>
      <w:pPr>
        <w:pStyle w:val="49"/>
        <w:bidi w:val="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注：具有健全的财务会计制度的证明材料中第(1)-(5)项具有同等的投标效力，投标人可根据自身实际情况选择提供其中任意一项。</w:t>
      </w:r>
    </w:p>
    <w:p>
      <w:pPr>
        <w:pStyle w:val="47"/>
        <w:numPr>
          <w:ilvl w:val="0"/>
          <w:numId w:val="19"/>
        </w:numPr>
        <w:bidi w:val="0"/>
        <w:ind w:left="0" w:leftChars="0" w:firstLine="0" w:firstLineChars="0"/>
        <w:rPr>
          <w:rFonts w:hint="eastAsia" w:ascii="宋体" w:hAnsi="宋体" w:eastAsia="宋体" w:cs="宋体"/>
          <w:color w:val="auto"/>
          <w:highlight w:val="none"/>
          <w:lang w:val="en-US" w:eastAsia="zh-CN"/>
        </w:rPr>
      </w:pPr>
      <w:bookmarkStart w:id="849" w:name="_Toc30292"/>
      <w:r>
        <w:rPr>
          <w:rFonts w:hint="eastAsia" w:ascii="宋体" w:hAnsi="宋体" w:eastAsia="宋体" w:cs="宋体"/>
          <w:color w:val="auto"/>
          <w:highlight w:val="none"/>
          <w:lang w:val="en-US" w:eastAsia="zh-CN"/>
        </w:rPr>
        <w:t>投标人具有依法缴纳税收和社会保障资金的良好记录的证明材料</w:t>
      </w:r>
      <w:bookmarkEnd w:id="846"/>
      <w:bookmarkEnd w:id="847"/>
      <w:bookmarkEnd w:id="849"/>
    </w:p>
    <w:bookmarkEnd w:id="848"/>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提供</w:t>
      </w:r>
      <w:r>
        <w:rPr>
          <w:rFonts w:hint="eastAsia" w:ascii="宋体" w:hAnsi="宋体" w:eastAsia="宋体" w:cs="宋体"/>
          <w:color w:val="auto"/>
          <w:highlight w:val="none"/>
          <w:lang w:val="zh-CN"/>
        </w:rPr>
        <w:t>依法缴纳税收和社会保障资金的良好记录</w:t>
      </w:r>
      <w:r>
        <w:rPr>
          <w:rFonts w:hint="eastAsia" w:ascii="宋体" w:hAnsi="宋体" w:eastAsia="宋体" w:cs="宋体"/>
          <w:color w:val="auto"/>
          <w:highlight w:val="none"/>
        </w:rPr>
        <w:t>的承诺函</w:t>
      </w:r>
      <w:r>
        <w:rPr>
          <w:rFonts w:hint="eastAsia" w:ascii="宋体" w:hAnsi="宋体" w:eastAsia="宋体" w:cs="宋体"/>
          <w:color w:val="auto"/>
          <w:highlight w:val="none"/>
          <w:lang w:eastAsia="zh-CN"/>
        </w:rPr>
        <w:t>。</w:t>
      </w:r>
    </w:p>
    <w:p>
      <w:pPr>
        <w:pStyle w:val="4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注：格式自拟，或参照《符合&lt;中华人民共和国政府采购法&gt;第二十二条规定的条件的承诺及声明函》的格式提供承诺函。</w:t>
      </w:r>
    </w:p>
    <w:p>
      <w:pPr>
        <w:pStyle w:val="25"/>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47"/>
        <w:numPr>
          <w:ilvl w:val="0"/>
          <w:numId w:val="19"/>
        </w:numPr>
        <w:bidi w:val="0"/>
        <w:ind w:left="0" w:leftChars="0" w:firstLine="0" w:firstLineChars="0"/>
        <w:rPr>
          <w:rFonts w:hint="eastAsia" w:ascii="宋体" w:hAnsi="宋体" w:eastAsia="宋体" w:cs="宋体"/>
          <w:color w:val="auto"/>
          <w:highlight w:val="none"/>
          <w:lang w:val="en-US" w:eastAsia="zh-CN"/>
        </w:rPr>
      </w:pPr>
      <w:bookmarkStart w:id="850" w:name="_Toc16336"/>
      <w:bookmarkStart w:id="851" w:name="_Toc26167"/>
      <w:bookmarkStart w:id="852" w:name="_Toc15870"/>
      <w:r>
        <w:rPr>
          <w:rFonts w:hint="eastAsia" w:ascii="宋体" w:hAnsi="宋体" w:eastAsia="宋体" w:cs="宋体"/>
          <w:color w:val="auto"/>
          <w:highlight w:val="none"/>
          <w:lang w:val="en-US" w:eastAsia="zh-CN"/>
        </w:rPr>
        <w:t>投标人具有履行合同所必需的设备和专业技术能力证明材料</w:t>
      </w:r>
      <w:bookmarkEnd w:id="850"/>
      <w:bookmarkEnd w:id="851"/>
      <w:bookmarkEnd w:id="852"/>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提供具有履行合同所必需的设备和专业技术能力的承诺函。</w:t>
      </w:r>
    </w:p>
    <w:p>
      <w:pPr>
        <w:pStyle w:val="4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注：格式自拟，或参照《符合&lt;中华人民共和国政府采购法&gt;第二十二条规定的条件的承诺及声明函》的格式提供承诺函。</w:t>
      </w:r>
    </w:p>
    <w:p>
      <w:pPr>
        <w:pStyle w:val="25"/>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47"/>
        <w:numPr>
          <w:ilvl w:val="0"/>
          <w:numId w:val="19"/>
        </w:numPr>
        <w:bidi w:val="0"/>
        <w:ind w:left="0" w:leftChars="0" w:firstLine="0" w:firstLineChars="0"/>
        <w:rPr>
          <w:rFonts w:hint="eastAsia" w:ascii="宋体" w:hAnsi="宋体" w:eastAsia="宋体" w:cs="宋体"/>
          <w:color w:val="auto"/>
          <w:highlight w:val="none"/>
          <w:lang w:val="en-US" w:eastAsia="zh-CN"/>
        </w:rPr>
      </w:pPr>
      <w:bookmarkStart w:id="853" w:name="_Toc21379"/>
      <w:bookmarkStart w:id="854" w:name="_Toc7287"/>
      <w:r>
        <w:rPr>
          <w:rFonts w:hint="eastAsia" w:ascii="宋体" w:hAnsi="宋体" w:eastAsia="宋体" w:cs="宋体"/>
          <w:color w:val="auto"/>
          <w:highlight w:val="none"/>
          <w:lang w:val="en-US" w:eastAsia="zh-CN"/>
        </w:rPr>
        <w:t>投标人参加政府采购活动前三年内，在经营活动中没有重大违法记录的证明材料</w:t>
      </w:r>
      <w:bookmarkEnd w:id="853"/>
      <w:bookmarkEnd w:id="854"/>
    </w:p>
    <w:p>
      <w:pPr>
        <w:pStyle w:val="29"/>
        <w:bidi w:val="0"/>
        <w:rPr>
          <w:rFonts w:hint="eastAsia" w:ascii="宋体" w:hAnsi="宋体" w:eastAsia="宋体" w:cs="宋体"/>
          <w:color w:val="auto"/>
          <w:highlight w:val="none"/>
          <w:lang w:val="en-US" w:eastAsia="zh-CN"/>
        </w:rPr>
      </w:pPr>
      <w:bookmarkStart w:id="855" w:name="_Toc14299"/>
      <w:bookmarkStart w:id="856" w:name="_Toc9591"/>
      <w:r>
        <w:rPr>
          <w:rFonts w:hint="eastAsia" w:ascii="宋体" w:hAnsi="宋体" w:eastAsia="宋体" w:cs="宋体"/>
          <w:color w:val="auto"/>
          <w:highlight w:val="none"/>
          <w:lang w:val="en-US" w:eastAsia="zh-CN"/>
        </w:rPr>
        <w:t>投标人提供参加本次政府采购活动前三年内，在经营活动中没有重大违法记录的书面声明(成立不足三年的，从成立之日起计算)。</w:t>
      </w:r>
    </w:p>
    <w:p>
      <w:pPr>
        <w:pStyle w:val="49"/>
        <w:bidi w:val="0"/>
        <w:rPr>
          <w:rFonts w:hint="eastAsia" w:ascii="宋体" w:hAnsi="宋体" w:eastAsia="宋体" w:cs="宋体"/>
          <w:color w:val="auto"/>
          <w:highlight w:val="none"/>
          <w:lang w:val="en-US" w:eastAsia="zh-CN"/>
        </w:rPr>
      </w:pPr>
      <w:bookmarkStart w:id="857" w:name="_Toc26284"/>
      <w:bookmarkStart w:id="858" w:name="_Toc7540"/>
      <w:r>
        <w:rPr>
          <w:rFonts w:hint="eastAsia" w:ascii="宋体" w:hAnsi="宋体" w:eastAsia="宋体" w:cs="宋体"/>
          <w:color w:val="auto"/>
          <w:highlight w:val="none"/>
          <w:lang w:val="en-US" w:eastAsia="zh-CN"/>
        </w:rPr>
        <w:t>注：格式自拟，或参照《符合&lt;中华人民共和国政府采购法&gt;第二十二条规定的条件的承诺及声明函》的格式提供声明函。</w:t>
      </w:r>
    </w:p>
    <w:bookmarkEnd w:id="855"/>
    <w:bookmarkEnd w:id="856"/>
    <w:bookmarkEnd w:id="857"/>
    <w:bookmarkEnd w:id="858"/>
    <w:p>
      <w:pPr>
        <w:pStyle w:val="47"/>
        <w:numPr>
          <w:ilvl w:val="0"/>
          <w:numId w:val="19"/>
        </w:numPr>
        <w:bidi w:val="0"/>
        <w:ind w:left="0" w:leftChars="0" w:firstLine="0" w:firstLineChars="0"/>
        <w:rPr>
          <w:rFonts w:hint="eastAsia" w:ascii="宋体" w:hAnsi="宋体" w:eastAsia="宋体" w:cs="宋体"/>
          <w:color w:val="auto"/>
          <w:highlight w:val="none"/>
          <w:lang w:val="zh-CN" w:eastAsia="zh-CN"/>
        </w:rPr>
      </w:pPr>
      <w:bookmarkStart w:id="859" w:name="_Toc17558"/>
      <w:bookmarkStart w:id="860" w:name="_Toc3840"/>
      <w:bookmarkStart w:id="861" w:name="_Toc27034"/>
      <w:bookmarkStart w:id="862" w:name="_Toc25455"/>
      <w:bookmarkStart w:id="863" w:name="_Toc15054"/>
      <w:bookmarkStart w:id="864" w:name="_Toc19166"/>
      <w:bookmarkStart w:id="865" w:name="_Toc4865"/>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lang w:val="zh-CN" w:eastAsia="zh-CN"/>
        </w:rPr>
        <w:t>及其现任法定代表人、主要负责人不得具有行贿犯罪记录</w:t>
      </w:r>
      <w:r>
        <w:rPr>
          <w:rFonts w:hint="eastAsia" w:ascii="宋体" w:hAnsi="宋体" w:eastAsia="宋体" w:cs="宋体"/>
          <w:color w:val="auto"/>
          <w:highlight w:val="none"/>
          <w:lang w:val="en-US" w:eastAsia="zh-CN"/>
        </w:rPr>
        <w:t>的</w:t>
      </w:r>
      <w:bookmarkEnd w:id="859"/>
      <w:bookmarkEnd w:id="860"/>
      <w:bookmarkEnd w:id="861"/>
      <w:r>
        <w:rPr>
          <w:rFonts w:hint="eastAsia" w:ascii="宋体" w:hAnsi="宋体" w:eastAsia="宋体" w:cs="宋体"/>
          <w:color w:val="auto"/>
          <w:highlight w:val="none"/>
          <w:lang w:val="en-US" w:eastAsia="zh-CN"/>
        </w:rPr>
        <w:t>承诺函</w:t>
      </w:r>
      <w:bookmarkEnd w:id="862"/>
    </w:p>
    <w:p>
      <w:pPr>
        <w:pStyle w:val="25"/>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eastAsia" w:ascii="宋体" w:hAnsi="宋体" w:eastAsia="宋体" w:cs="宋体"/>
          <w:color w:val="auto"/>
          <w:highlight w:val="none"/>
        </w:rPr>
      </w:pPr>
      <w:bookmarkStart w:id="866" w:name="_Toc8455"/>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25"/>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作为本次采购项目的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，根据</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29"/>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val="0"/>
          <w:bCs w:val="0"/>
          <w:color w:val="auto"/>
          <w:highlight w:val="none"/>
          <w:lang w:val="en-US" w:eastAsia="zh-CN"/>
        </w:rPr>
        <w:t>(投标人名称)及其现任法定代表人</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none"/>
          <w:lang w:val="en-US" w:eastAsia="zh-CN"/>
        </w:rPr>
        <w:t>(姓名)、</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none"/>
          <w:lang w:val="en-US" w:eastAsia="zh-CN"/>
        </w:rPr>
        <w:t>(身份证号码)，主要负责人</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none"/>
          <w:lang w:val="en-US" w:eastAsia="zh-CN"/>
        </w:rPr>
        <w:t>(姓名)、</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b w:val="0"/>
          <w:bCs w:val="0"/>
          <w:color w:val="auto"/>
          <w:highlight w:val="none"/>
          <w:u w:val="none"/>
          <w:lang w:val="en-US" w:eastAsia="zh-CN"/>
        </w:rPr>
        <w:t>(身份证号码)，</w:t>
      </w:r>
      <w:r>
        <w:rPr>
          <w:rFonts w:hint="eastAsia" w:ascii="宋体" w:hAnsi="宋体" w:eastAsia="宋体" w:cs="宋体"/>
          <w:b w:val="0"/>
          <w:bCs w:val="0"/>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(无行贿犯罪记录的期限)均无行贿犯罪记录。     </w:t>
      </w:r>
    </w:p>
    <w:p>
      <w:pPr>
        <w:pStyle w:val="29"/>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ascii="宋体" w:hAnsi="宋体" w:eastAsia="宋体" w:cs="宋体"/>
          <w:color w:val="auto"/>
          <w:highlight w:val="none"/>
          <w:lang w:val="en-US" w:eastAsia="zh-CN"/>
        </w:rPr>
        <w:t>单位自愿</w:t>
      </w:r>
      <w:r>
        <w:rPr>
          <w:rFonts w:hint="eastAsia" w:ascii="宋体" w:hAnsi="宋体" w:eastAsia="宋体" w:cs="宋体"/>
          <w:color w:val="auto"/>
          <w:highlight w:val="none"/>
        </w:rPr>
        <w:t>接受以提供虚假材料谋取</w:t>
      </w:r>
      <w:r>
        <w:rPr>
          <w:rFonts w:hint="eastAsia" w:ascii="宋体" w:hAnsi="宋体" w:eastAsia="宋体" w:cs="宋体"/>
          <w:color w:val="auto"/>
          <w:highlight w:val="none"/>
          <w:lang w:val="en-US" w:eastAsia="zh-CN"/>
        </w:rPr>
        <w:t>中标所带来的所有</w:t>
      </w:r>
      <w:r>
        <w:rPr>
          <w:rFonts w:hint="eastAsia" w:ascii="宋体" w:hAnsi="宋体" w:eastAsia="宋体" w:cs="宋体"/>
          <w:color w:val="auto"/>
          <w:highlight w:val="none"/>
        </w:rPr>
        <w:t>法律责任。</w:t>
      </w:r>
    </w:p>
    <w:p>
      <w:pPr>
        <w:pStyle w:val="25"/>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25"/>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28"/>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u w:val="single"/>
          <w:lang w:val="en-US" w:eastAsia="zh-CN"/>
        </w:rPr>
        <w:t xml:space="preserve">                  </w:t>
      </w:r>
    </w:p>
    <w:p>
      <w:pPr>
        <w:pStyle w:val="28"/>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p>
    <w:p>
      <w:pPr>
        <w:pStyle w:val="28"/>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注：投标人成立时间超过十年的，在“</w:t>
      </w:r>
      <w:r>
        <w:rPr>
          <w:rFonts w:hint="eastAsia" w:ascii="宋体" w:hAnsi="宋体" w:eastAsia="宋体" w:cs="宋体"/>
          <w:b/>
          <w:bCs/>
          <w:color w:val="auto"/>
          <w:highlight w:val="none"/>
          <w:u w:val="none"/>
          <w:lang w:val="en-US" w:eastAsia="zh-CN"/>
        </w:rPr>
        <w:t>无行贿犯罪记录的期限</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u w:val="none"/>
          <w:lang w:val="en-US" w:eastAsia="zh-CN"/>
        </w:rPr>
        <w:t>处填写“十年内”；</w:t>
      </w: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u w:val="none"/>
          <w:lang w:val="en-US" w:eastAsia="zh-CN"/>
        </w:rPr>
        <w:t>成立时间不足十年的，</w:t>
      </w:r>
      <w:r>
        <w:rPr>
          <w:rFonts w:hint="eastAsia" w:ascii="宋体" w:hAnsi="宋体" w:eastAsia="宋体" w:cs="宋体"/>
          <w:b/>
          <w:bCs/>
          <w:color w:val="auto"/>
          <w:highlight w:val="none"/>
          <w:lang w:val="en-US" w:eastAsia="zh-CN"/>
        </w:rPr>
        <w:t>在“</w:t>
      </w:r>
      <w:r>
        <w:rPr>
          <w:rFonts w:hint="eastAsia" w:ascii="宋体" w:hAnsi="宋体" w:eastAsia="宋体" w:cs="宋体"/>
          <w:b/>
          <w:bCs/>
          <w:color w:val="auto"/>
          <w:highlight w:val="none"/>
          <w:u w:val="none"/>
          <w:lang w:val="en-US" w:eastAsia="zh-CN"/>
        </w:rPr>
        <w:t>无行贿犯罪记录的期限</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u w:val="none"/>
          <w:lang w:val="en-US" w:eastAsia="zh-CN"/>
        </w:rPr>
        <w:t>处填写“自我单位成立之日起至今”</w:t>
      </w:r>
      <w:r>
        <w:rPr>
          <w:rFonts w:hint="eastAsia" w:ascii="宋体" w:hAnsi="宋体" w:eastAsia="宋体" w:cs="宋体"/>
          <w:b/>
          <w:bCs/>
          <w:color w:val="auto"/>
          <w:highlight w:val="none"/>
          <w:lang w:val="en-US" w:eastAsia="zh-CN"/>
        </w:rPr>
        <w:t>。</w:t>
      </w:r>
    </w:p>
    <w:p>
      <w:pPr>
        <w:pStyle w:val="25"/>
        <w:bidi w:val="0"/>
        <w:rPr>
          <w:rFonts w:hint="eastAsia" w:ascii="宋体" w:hAnsi="宋体" w:eastAsia="宋体" w:cs="宋体"/>
          <w:color w:val="auto"/>
          <w:highlight w:val="none"/>
          <w:lang w:val="zh-CN" w:eastAsia="zh-CN"/>
        </w:rPr>
      </w:pPr>
    </w:p>
    <w:p>
      <w:pPr>
        <w:pStyle w:val="25"/>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br w:type="page"/>
      </w:r>
      <w:bookmarkEnd w:id="866"/>
      <w:bookmarkStart w:id="867" w:name="_Toc2151"/>
    </w:p>
    <w:bookmarkEnd w:id="867"/>
    <w:p>
      <w:pPr>
        <w:pStyle w:val="47"/>
        <w:numPr>
          <w:ilvl w:val="0"/>
          <w:numId w:val="19"/>
        </w:numPr>
        <w:bidi w:val="0"/>
        <w:ind w:left="0" w:leftChars="0" w:firstLine="0" w:firstLineChars="0"/>
        <w:rPr>
          <w:rFonts w:hint="eastAsia" w:ascii="宋体" w:hAnsi="宋体" w:eastAsia="宋体" w:cs="宋体"/>
          <w:color w:val="auto"/>
          <w:highlight w:val="none"/>
          <w:lang w:val="en-US" w:eastAsia="zh-CN"/>
        </w:rPr>
      </w:pPr>
      <w:bookmarkStart w:id="868" w:name="_Toc7951"/>
      <w:r>
        <w:rPr>
          <w:rFonts w:hint="eastAsia" w:ascii="宋体" w:hAnsi="宋体" w:eastAsia="宋体" w:cs="宋体"/>
          <w:color w:val="auto"/>
          <w:highlight w:val="none"/>
          <w:lang w:val="en-US" w:eastAsia="zh-CN"/>
        </w:rPr>
        <w:t>根据采购项目的特殊要求，供应商提供具有特定条件</w:t>
      </w:r>
      <w:bookmarkEnd w:id="863"/>
      <w:r>
        <w:rPr>
          <w:rFonts w:hint="eastAsia" w:ascii="宋体" w:hAnsi="宋体" w:eastAsia="宋体" w:cs="宋体"/>
          <w:color w:val="auto"/>
          <w:highlight w:val="none"/>
          <w:lang w:val="en-US" w:eastAsia="zh-CN"/>
        </w:rPr>
        <w:t>的证明材料</w:t>
      </w:r>
      <w:bookmarkEnd w:id="864"/>
      <w:bookmarkEnd w:id="865"/>
      <w:bookmarkEnd w:id="868"/>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提供国家行政主管部门颁发且在有效期内的《中华人民共和国出版物经营许可证》复印件</w:t>
      </w:r>
      <w:r>
        <w:rPr>
          <w:rFonts w:hint="eastAsia" w:ascii="宋体" w:hAnsi="宋体" w:eastAsia="宋体" w:cs="宋体"/>
          <w:color w:val="auto"/>
          <w:highlight w:val="none"/>
          <w:lang w:eastAsia="zh-CN"/>
        </w:rPr>
        <w:t>。</w:t>
      </w:r>
    </w:p>
    <w:p>
      <w:pPr>
        <w:pStyle w:val="47"/>
        <w:numPr>
          <w:ilvl w:val="0"/>
          <w:numId w:val="19"/>
        </w:numPr>
        <w:bidi w:val="0"/>
        <w:ind w:left="0" w:leftChars="0" w:firstLine="0" w:firstLineChars="0"/>
        <w:rPr>
          <w:rFonts w:hint="eastAsia" w:ascii="宋体" w:hAnsi="宋体" w:eastAsia="宋体" w:cs="宋体"/>
          <w:color w:val="auto"/>
          <w:highlight w:val="none"/>
          <w:lang w:val="en-US" w:eastAsia="zh-CN"/>
        </w:rPr>
      </w:pPr>
      <w:bookmarkStart w:id="869" w:name="_Toc21855"/>
      <w:bookmarkStart w:id="870" w:name="_Toc4483"/>
      <w:bookmarkStart w:id="871" w:name="_Toc15708"/>
      <w:r>
        <w:rPr>
          <w:rFonts w:hint="eastAsia" w:ascii="宋体" w:hAnsi="宋体" w:eastAsia="宋体" w:cs="宋体"/>
          <w:color w:val="auto"/>
          <w:highlight w:val="none"/>
          <w:lang w:val="en-US" w:eastAsia="zh-CN"/>
        </w:rPr>
        <w:t>符合《中华人民共和国政府采购法》第二十二条规定的条件的承诺及声明函</w:t>
      </w:r>
      <w:bookmarkEnd w:id="869"/>
      <w:bookmarkEnd w:id="870"/>
      <w:bookmarkEnd w:id="871"/>
    </w:p>
    <w:p>
      <w:pPr>
        <w:pStyle w:val="25"/>
        <w:bidi w:val="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我公司作为本次采购项目的</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供应商，根据</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39"/>
        <w:numPr>
          <w:ilvl w:val="2"/>
          <w:numId w:val="20"/>
        </w:num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具有良好的商业信誉和健全的财务会计制度； </w:t>
      </w:r>
    </w:p>
    <w:p>
      <w:pPr>
        <w:pStyle w:val="39"/>
        <w:numPr>
          <w:ilvl w:val="2"/>
          <w:numId w:val="20"/>
        </w:num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具有履行合同所必需的设备和专业技术能力； </w:t>
      </w:r>
    </w:p>
    <w:p>
      <w:pPr>
        <w:pStyle w:val="39"/>
        <w:numPr>
          <w:ilvl w:val="2"/>
          <w:numId w:val="20"/>
        </w:num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具</w:t>
      </w:r>
      <w:r>
        <w:rPr>
          <w:rFonts w:hint="eastAsia" w:ascii="宋体" w:hAnsi="宋体" w:eastAsia="宋体" w:cs="宋体"/>
          <w:color w:val="auto"/>
          <w:highlight w:val="none"/>
        </w:rPr>
        <w:t xml:space="preserve">有依法缴纳税收和社会保障资金的良好记录； </w:t>
      </w:r>
    </w:p>
    <w:p>
      <w:pPr>
        <w:pStyle w:val="39"/>
        <w:numPr>
          <w:ilvl w:val="2"/>
          <w:numId w:val="20"/>
        </w:numPr>
        <w:bidi w:val="0"/>
        <w:rPr>
          <w:rFonts w:hint="eastAsia" w:ascii="宋体" w:hAnsi="宋体" w:eastAsia="宋体" w:cs="宋体"/>
          <w:color w:val="auto"/>
          <w:highlight w:val="none"/>
        </w:rPr>
      </w:pPr>
      <w:r>
        <w:rPr>
          <w:rFonts w:hint="eastAsia" w:ascii="宋体" w:hAnsi="宋体" w:eastAsia="宋体" w:cs="宋体"/>
          <w:color w:val="auto"/>
          <w:highlight w:val="none"/>
        </w:rPr>
        <w:t>参加本次政府采购活动前三年内，在经营活动中没有重大违法记录(供应商成立不足三年的，从成立之日起计算)；</w:t>
      </w:r>
    </w:p>
    <w:p>
      <w:pPr>
        <w:pStyle w:val="39"/>
        <w:numPr>
          <w:ilvl w:val="2"/>
          <w:numId w:val="20"/>
        </w:num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符合</w:t>
      </w:r>
      <w:r>
        <w:rPr>
          <w:rFonts w:hint="eastAsia" w:ascii="宋体" w:hAnsi="宋体" w:eastAsia="宋体" w:cs="宋体"/>
          <w:color w:val="auto"/>
          <w:highlight w:val="none"/>
        </w:rPr>
        <w:t>法律、行政法规规定的其他条件</w:t>
      </w:r>
      <w:r>
        <w:rPr>
          <w:rFonts w:hint="eastAsia" w:cs="宋体"/>
          <w:color w:val="auto"/>
          <w:highlight w:val="none"/>
          <w:lang w:eastAsia="zh-CN"/>
        </w:rPr>
        <w:t>。</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本公司对上述承诺的内容事项真实性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负责。如经查实上述承诺的内容事项存在虚假，我公司</w:t>
      </w:r>
      <w:r>
        <w:rPr>
          <w:rFonts w:hint="eastAsia" w:ascii="宋体" w:hAnsi="宋体" w:eastAsia="宋体" w:cs="宋体"/>
          <w:color w:val="auto"/>
          <w:highlight w:val="none"/>
          <w:lang w:val="en-US" w:eastAsia="zh-CN"/>
        </w:rPr>
        <w:t>自愿</w:t>
      </w:r>
      <w:r>
        <w:rPr>
          <w:rFonts w:hint="eastAsia" w:ascii="宋体" w:hAnsi="宋体" w:eastAsia="宋体" w:cs="宋体"/>
          <w:color w:val="auto"/>
          <w:highlight w:val="none"/>
        </w:rPr>
        <w:t>接受以提供虚假材料谋取</w:t>
      </w:r>
      <w:r>
        <w:rPr>
          <w:rFonts w:hint="eastAsia" w:ascii="宋体" w:hAnsi="宋体" w:eastAsia="宋体" w:cs="宋体"/>
          <w:color w:val="auto"/>
          <w:highlight w:val="none"/>
          <w:lang w:val="en-US" w:eastAsia="zh-CN"/>
        </w:rPr>
        <w:t>中标所带来的所有</w:t>
      </w:r>
      <w:r>
        <w:rPr>
          <w:rFonts w:hint="eastAsia" w:ascii="宋体" w:hAnsi="宋体" w:eastAsia="宋体" w:cs="宋体"/>
          <w:color w:val="auto"/>
          <w:highlight w:val="none"/>
        </w:rPr>
        <w:t>法律责任。</w:t>
      </w:r>
    </w:p>
    <w:p>
      <w:pPr>
        <w:pStyle w:val="25"/>
        <w:bidi w:val="0"/>
        <w:rPr>
          <w:rFonts w:hint="eastAsia" w:ascii="宋体" w:hAnsi="宋体" w:eastAsia="宋体" w:cs="宋体"/>
          <w:color w:val="auto"/>
          <w:highlight w:val="none"/>
          <w:lang w:val="en-US" w:eastAsia="zh-CN"/>
        </w:rPr>
      </w:pPr>
    </w:p>
    <w:p>
      <w:pPr>
        <w:pStyle w:val="25"/>
        <w:bidi w:val="0"/>
        <w:rPr>
          <w:rFonts w:hint="eastAsia" w:ascii="宋体" w:hAnsi="宋体" w:eastAsia="宋体" w:cs="宋体"/>
          <w:color w:val="auto"/>
          <w:highlight w:val="none"/>
          <w:lang w:val="en-US" w:eastAsia="zh-CN"/>
        </w:rPr>
      </w:pP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 xml:space="preserve">  </w:t>
      </w:r>
    </w:p>
    <w:p>
      <w:pPr>
        <w:pStyle w:val="4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注：本部分所要求的承诺函可参照本格式或自拟格式填写均有效。</w:t>
      </w:r>
    </w:p>
    <w:p>
      <w:pPr>
        <w:pStyle w:val="25"/>
        <w:bidi w:val="0"/>
        <w:rPr>
          <w:rFonts w:hint="eastAsia" w:ascii="宋体" w:hAnsi="宋体" w:eastAsia="宋体" w:cs="宋体"/>
          <w:color w:val="auto"/>
          <w:highlight w:val="none"/>
          <w:lang w:val="en-US" w:eastAsia="zh-CN"/>
        </w:rPr>
      </w:pPr>
    </w:p>
    <w:p>
      <w:pPr>
        <w:pStyle w:val="25"/>
        <w:bidi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872" w:name="_Toc18702"/>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bookmarkStart w:id="873" w:name="_Toc14607"/>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6"/>
        <w:numPr>
          <w:ilvl w:val="1"/>
          <w:numId w:val="0"/>
        </w:numPr>
        <w:bidi w:val="0"/>
        <w:jc w:val="center"/>
        <w:rPr>
          <w:rFonts w:hint="eastAsia" w:ascii="宋体" w:hAnsi="宋体" w:eastAsia="宋体" w:cs="宋体"/>
          <w:color w:val="auto"/>
          <w:sz w:val="32"/>
          <w:szCs w:val="32"/>
          <w:highlight w:val="none"/>
        </w:rPr>
      </w:pPr>
      <w:bookmarkStart w:id="874" w:name="_Toc1368"/>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val="en-US" w:eastAsia="zh-CN"/>
        </w:rPr>
        <w:t>二</w:t>
      </w:r>
      <w:r>
        <w:rPr>
          <w:rFonts w:hint="eastAsia" w:ascii="宋体" w:hAnsi="宋体" w:eastAsia="宋体" w:cs="宋体"/>
          <w:color w:val="auto"/>
          <w:sz w:val="32"/>
          <w:szCs w:val="32"/>
          <w:highlight w:val="none"/>
        </w:rPr>
        <w:t>部分 其他</w:t>
      </w:r>
      <w:r>
        <w:rPr>
          <w:rFonts w:hint="eastAsia" w:ascii="宋体" w:hAnsi="宋体" w:eastAsia="宋体" w:cs="宋体"/>
          <w:color w:val="auto"/>
          <w:sz w:val="32"/>
          <w:szCs w:val="32"/>
          <w:highlight w:val="none"/>
          <w:lang w:val="en-US" w:eastAsia="zh-CN"/>
        </w:rPr>
        <w:t>投标</w:t>
      </w:r>
      <w:r>
        <w:rPr>
          <w:rFonts w:hint="eastAsia" w:ascii="宋体" w:hAnsi="宋体" w:eastAsia="宋体" w:cs="宋体"/>
          <w:color w:val="auto"/>
          <w:sz w:val="32"/>
          <w:szCs w:val="32"/>
          <w:highlight w:val="none"/>
        </w:rPr>
        <w:t>文件(格式)</w:t>
      </w:r>
      <w:bookmarkEnd w:id="873"/>
      <w:bookmarkEnd w:id="874"/>
    </w:p>
    <w:p>
      <w:pPr>
        <w:pStyle w:val="25"/>
        <w:bidi w:val="0"/>
        <w:rPr>
          <w:rFonts w:hint="eastAsia" w:ascii="宋体" w:hAnsi="宋体" w:eastAsia="宋体" w:cs="宋体"/>
          <w:color w:val="auto"/>
          <w:highlight w:val="none"/>
          <w:lang w:val="en-US" w:eastAsia="zh-CN"/>
        </w:rPr>
      </w:pPr>
      <w:bookmarkStart w:id="875" w:name="_Toc26038"/>
      <w:r>
        <w:rPr>
          <w:rFonts w:hint="eastAsia" w:ascii="宋体" w:hAnsi="宋体" w:eastAsia="宋体" w:cs="宋体"/>
          <w:color w:val="auto"/>
          <w:highlight w:val="none"/>
          <w:lang w:val="en-US" w:eastAsia="zh-CN"/>
        </w:rPr>
        <w:br w:type="page"/>
      </w:r>
    </w:p>
    <w:p>
      <w:pPr>
        <w:pStyle w:val="47"/>
        <w:numPr>
          <w:ilvl w:val="0"/>
          <w:numId w:val="21"/>
        </w:numPr>
        <w:bidi w:val="0"/>
        <w:ind w:left="0" w:leftChars="0" w:firstLine="0" w:firstLineChars="0"/>
        <w:rPr>
          <w:rFonts w:hint="eastAsia" w:ascii="宋体" w:hAnsi="宋体" w:eastAsia="宋体" w:cs="宋体"/>
          <w:color w:val="auto"/>
          <w:highlight w:val="none"/>
          <w:lang w:val="en-US" w:eastAsia="zh-CN"/>
        </w:rPr>
      </w:pPr>
      <w:bookmarkStart w:id="876" w:name="_Toc22199"/>
      <w:bookmarkStart w:id="877" w:name="_Toc2311"/>
      <w:r>
        <w:rPr>
          <w:rFonts w:hint="eastAsia" w:ascii="宋体" w:hAnsi="宋体" w:eastAsia="宋体" w:cs="宋体"/>
          <w:color w:val="auto"/>
          <w:highlight w:val="none"/>
          <w:lang w:val="en-US" w:eastAsia="zh-CN"/>
        </w:rPr>
        <w:t>投标函</w:t>
      </w:r>
      <w:bookmarkEnd w:id="872"/>
      <w:bookmarkEnd w:id="875"/>
      <w:bookmarkEnd w:id="876"/>
      <w:bookmarkEnd w:id="877"/>
    </w:p>
    <w:p>
      <w:pPr>
        <w:pStyle w:val="25"/>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致：四川乾新招投标代理有限公司　</w:t>
      </w:r>
    </w:p>
    <w:p>
      <w:pPr>
        <w:pStyle w:val="2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我方全面研究了“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en-US" w:eastAsia="zh-CN"/>
        </w:rPr>
        <w:t>(项目名称)</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招标文件，决定参加贵单位组织的本项目投标。我方授权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(姓名、职务)代表我</w:t>
      </w:r>
      <w:r>
        <w:rPr>
          <w:rFonts w:hint="eastAsia" w:ascii="宋体" w:hAnsi="宋体" w:eastAsia="宋体" w:cs="宋体"/>
          <w:color w:val="auto"/>
          <w:highlight w:val="none"/>
          <w:lang w:val="en-US" w:eastAsia="zh-CN"/>
        </w:rPr>
        <w:t>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投标人名称</w:t>
      </w:r>
      <w:r>
        <w:rPr>
          <w:rFonts w:hint="eastAsia" w:ascii="宋体" w:hAnsi="宋体" w:eastAsia="宋体" w:cs="宋体"/>
          <w:color w:val="auto"/>
          <w:highlight w:val="none"/>
        </w:rPr>
        <w:t>)全权处理本项目投标的有关事宜。</w:t>
      </w:r>
    </w:p>
    <w:p>
      <w:pPr>
        <w:pStyle w:val="39"/>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我方自愿按照招标文件规定的各项要求向采购人提供所需</w:t>
      </w:r>
      <w:r>
        <w:rPr>
          <w:rFonts w:hint="eastAsia" w:ascii="宋体" w:hAnsi="宋体" w:eastAsia="宋体" w:cs="宋体"/>
          <w:color w:val="auto"/>
          <w:highlight w:val="none"/>
          <w:lang w:val="en-US" w:eastAsia="zh-CN"/>
        </w:rPr>
        <w:t>货物及</w:t>
      </w:r>
      <w:r>
        <w:rPr>
          <w:rFonts w:hint="eastAsia" w:cs="宋体"/>
          <w:color w:val="auto"/>
          <w:highlight w:val="none"/>
          <w:lang w:val="en-US" w:eastAsia="zh-CN"/>
        </w:rPr>
        <w:t>相应</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，投标报价(</w:t>
      </w:r>
      <w:r>
        <w:rPr>
          <w:rFonts w:hint="eastAsia" w:ascii="宋体" w:hAnsi="宋体" w:eastAsia="宋体" w:cs="宋体"/>
          <w:color w:val="auto"/>
          <w:highlight w:val="none"/>
          <w:lang w:eastAsia="zh-CN"/>
        </w:rPr>
        <w:t>下浮率</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%(大写：百分之</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我方将严格履行合同规定的责任和义务，</w:t>
      </w:r>
      <w:r>
        <w:rPr>
          <w:rFonts w:hint="eastAsia" w:ascii="宋体" w:hAnsi="宋体" w:eastAsia="宋体" w:cs="宋体"/>
          <w:color w:val="auto"/>
          <w:highlight w:val="none"/>
          <w:lang w:val="en-US" w:eastAsia="zh-CN"/>
        </w:rPr>
        <w:t>履约时间为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39"/>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我方承诺：投标有效</w:t>
      </w:r>
      <w:r>
        <w:rPr>
          <w:rFonts w:hint="eastAsia" w:ascii="宋体" w:hAnsi="宋体" w:eastAsia="宋体" w:cs="宋体"/>
          <w:color w:val="auto"/>
          <w:highlight w:val="none"/>
          <w:u w:val="none"/>
        </w:rPr>
        <w:t>期为</w:t>
      </w:r>
      <w:r>
        <w:rPr>
          <w:rFonts w:hint="eastAsia" w:ascii="宋体" w:hAnsi="宋体" w:eastAsia="宋体" w:cs="宋体"/>
          <w:color w:val="auto"/>
          <w:highlight w:val="none"/>
          <w:u w:val="none"/>
          <w:lang w:val="en-US" w:eastAsia="zh-CN"/>
        </w:rPr>
        <w:t>提交投标文件的截止之日起90日</w:t>
      </w:r>
      <w:r>
        <w:rPr>
          <w:rFonts w:hint="eastAsia" w:ascii="宋体" w:hAnsi="宋体" w:eastAsia="宋体" w:cs="宋体"/>
          <w:color w:val="auto"/>
          <w:highlight w:val="none"/>
        </w:rPr>
        <w:t>。</w:t>
      </w:r>
    </w:p>
    <w:p>
      <w:pPr>
        <w:pStyle w:val="39"/>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我方完全理解采购人不一定将合同授予最低报价的投标人的行为。</w:t>
      </w:r>
    </w:p>
    <w:p>
      <w:pPr>
        <w:pStyle w:val="39"/>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一旦我方中标</w:t>
      </w:r>
      <w:r>
        <w:rPr>
          <w:rFonts w:hint="eastAsia" w:ascii="宋体" w:hAnsi="宋体" w:eastAsia="宋体" w:cs="宋体"/>
          <w:color w:val="auto"/>
          <w:highlight w:val="none"/>
          <w:lang w:eastAsia="zh-CN"/>
        </w:rPr>
        <w:t>：</w:t>
      </w:r>
    </w:p>
    <w:p>
      <w:pPr>
        <w:pStyle w:val="40"/>
        <w:bidi w:val="0"/>
        <w:rPr>
          <w:rFonts w:hint="eastAsia" w:ascii="宋体" w:hAnsi="宋体" w:eastAsia="宋体" w:cs="宋体"/>
          <w:color w:val="auto"/>
          <w:highlight w:val="none"/>
        </w:rPr>
      </w:pPr>
      <w:r>
        <w:rPr>
          <w:rFonts w:hint="eastAsia" w:ascii="宋体" w:hAnsi="宋体" w:eastAsia="宋体" w:cs="宋体"/>
          <w:color w:val="auto"/>
          <w:highlight w:val="none"/>
        </w:rPr>
        <w:t>我方承诺在收到</w:t>
      </w: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rPr>
        <w:t>通知书后，在规定的期限内与采购人签订合同。</w:t>
      </w:r>
    </w:p>
    <w:p>
      <w:pPr>
        <w:pStyle w:val="40"/>
        <w:bidi w:val="0"/>
        <w:rPr>
          <w:rFonts w:hint="eastAsia" w:ascii="宋体" w:hAnsi="宋体" w:eastAsia="宋体" w:cs="宋体"/>
          <w:color w:val="auto"/>
          <w:highlight w:val="none"/>
        </w:rPr>
      </w:pPr>
      <w:r>
        <w:rPr>
          <w:rFonts w:hint="eastAsia" w:ascii="宋体" w:hAnsi="宋体" w:eastAsia="宋体" w:cs="宋体"/>
          <w:color w:val="auto"/>
          <w:highlight w:val="none"/>
        </w:rPr>
        <w:t>我方承诺按照</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文件规定的金额和方式向采购人缴纳履约保证金。</w:t>
      </w:r>
    </w:p>
    <w:p>
      <w:pPr>
        <w:pStyle w:val="40"/>
        <w:bidi w:val="0"/>
        <w:rPr>
          <w:rFonts w:hint="eastAsia" w:ascii="宋体" w:hAnsi="宋体" w:eastAsia="宋体" w:cs="宋体"/>
          <w:color w:val="auto"/>
          <w:highlight w:val="none"/>
        </w:rPr>
      </w:pPr>
      <w:r>
        <w:rPr>
          <w:rFonts w:hint="eastAsia" w:ascii="宋体" w:hAnsi="宋体" w:eastAsia="宋体" w:cs="宋体"/>
          <w:color w:val="auto"/>
          <w:highlight w:val="none"/>
        </w:rPr>
        <w:t>我方将严格履行政府采购合同规定的责任和义务。</w:t>
      </w:r>
    </w:p>
    <w:p>
      <w:pPr>
        <w:pStyle w:val="40"/>
        <w:bidi w:val="0"/>
        <w:rPr>
          <w:rFonts w:hint="eastAsia" w:ascii="宋体" w:hAnsi="宋体" w:eastAsia="宋体" w:cs="宋体"/>
          <w:color w:val="auto"/>
          <w:highlight w:val="none"/>
        </w:rPr>
      </w:pPr>
      <w:r>
        <w:rPr>
          <w:rFonts w:hint="eastAsia" w:ascii="宋体" w:hAnsi="宋体" w:eastAsia="宋体" w:cs="宋体"/>
          <w:color w:val="auto"/>
          <w:highlight w:val="none"/>
        </w:rPr>
        <w:t>我方同意本</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参照</w:t>
      </w:r>
      <w:r>
        <w:rPr>
          <w:rFonts w:hint="eastAsia" w:ascii="宋体" w:hAnsi="宋体" w:eastAsia="宋体" w:cs="宋体"/>
          <w:color w:val="auto"/>
          <w:highlight w:val="none"/>
        </w:rPr>
        <w:t>《四川省政府采购当事人诚信管理办法》</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川财采〔2015〕33号文件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对我方可能存在的失信行为进行惩戒</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并予以承认</w:t>
      </w:r>
      <w:r>
        <w:rPr>
          <w:rFonts w:hint="eastAsia" w:ascii="宋体" w:hAnsi="宋体" w:eastAsia="宋体" w:cs="宋体"/>
          <w:color w:val="auto"/>
          <w:highlight w:val="none"/>
        </w:rPr>
        <w:t>。</w:t>
      </w:r>
    </w:p>
    <w:p>
      <w:pPr>
        <w:pStyle w:val="40"/>
        <w:bidi w:val="0"/>
        <w:rPr>
          <w:rFonts w:hint="eastAsia" w:ascii="宋体" w:hAnsi="宋体" w:eastAsia="宋体" w:cs="宋体"/>
          <w:color w:val="auto"/>
          <w:highlight w:val="none"/>
        </w:rPr>
      </w:pPr>
      <w:r>
        <w:rPr>
          <w:rFonts w:hint="eastAsia" w:ascii="宋体" w:hAnsi="宋体" w:eastAsia="宋体" w:cs="宋体"/>
          <w:color w:val="auto"/>
          <w:highlight w:val="none"/>
        </w:rPr>
        <w:t>我方愿意提供与</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报价有关的文件资料，并保证我方已提供和将要提供的文件资料是真实、准确的。</w:t>
      </w:r>
    </w:p>
    <w:p>
      <w:pPr>
        <w:pStyle w:val="40"/>
        <w:bidi w:val="0"/>
        <w:rPr>
          <w:rFonts w:hint="eastAsia" w:ascii="宋体" w:hAnsi="宋体" w:eastAsia="宋体" w:cs="宋体"/>
          <w:color w:val="auto"/>
          <w:highlight w:val="none"/>
        </w:rPr>
      </w:pPr>
      <w:r>
        <w:rPr>
          <w:rFonts w:hint="eastAsia" w:ascii="宋体" w:hAnsi="宋体" w:eastAsia="宋体" w:cs="宋体"/>
          <w:color w:val="auto"/>
          <w:highlight w:val="none"/>
        </w:rPr>
        <w:t>我方自愿按照</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文件规定的各项要求完成</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项目，接受采购人按照政府采购合同约定金额支付采购资金。</w:t>
      </w:r>
    </w:p>
    <w:p>
      <w:pPr>
        <w:pStyle w:val="40"/>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我方在参与本项目履约过程中涉及国家相关强制标准的，均按照该标准执行。</w:t>
      </w:r>
    </w:p>
    <w:p>
      <w:pPr>
        <w:pStyle w:val="39"/>
        <w:keepNext w:val="0"/>
        <w:keepLines w:val="0"/>
        <w:pageBreakBefore w:val="0"/>
        <w:widowControl w:val="0"/>
        <w:numPr>
          <w:ilvl w:val="2"/>
          <w:numId w:val="22"/>
        </w:numPr>
        <w:kinsoku/>
        <w:wordWrap w:val="0"/>
        <w:overflowPunct/>
        <w:topLinePunct/>
        <w:autoSpaceDE/>
        <w:autoSpaceDN/>
        <w:bidi w:val="0"/>
        <w:adjustRightInd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我方完全接受和满足本项目招标文件中规定的实质性要求，如对招标文件有异议，已经在投标</w:t>
      </w:r>
      <w:r>
        <w:rPr>
          <w:rFonts w:hint="eastAsia" w:ascii="宋体" w:hAnsi="宋体" w:eastAsia="宋体" w:cs="宋体"/>
          <w:color w:val="auto"/>
          <w:highlight w:val="none"/>
        </w:rPr>
        <w:t>截止时间届满前依法进行维权救济，不存在对</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有异议的同时又参加</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以求侥幸</w:t>
      </w: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rPr>
        <w:t>或者为实现其他非法目的的行为。</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highlight w:val="none"/>
        </w:rPr>
        <w:t>(盖章)</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通讯地址：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highlight w:val="none"/>
        </w:rPr>
        <w:t xml:space="preserve">               </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highlight w:val="none"/>
        </w:rPr>
        <w:t xml:space="preserve">               </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highlight w:val="none"/>
        </w:rPr>
        <w:t xml:space="preserve">               </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highlight w:val="none"/>
        </w:rPr>
        <w:t xml:space="preserve">               </w:t>
      </w:r>
    </w:p>
    <w:p>
      <w:pPr>
        <w:pStyle w:val="25"/>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highlight w:val="none"/>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7"/>
        <w:numPr>
          <w:ilvl w:val="0"/>
          <w:numId w:val="21"/>
        </w:numPr>
        <w:bidi w:val="0"/>
        <w:ind w:left="0" w:leftChars="0" w:firstLine="0" w:firstLineChars="0"/>
        <w:rPr>
          <w:rFonts w:hint="eastAsia" w:ascii="宋体" w:hAnsi="宋体" w:eastAsia="宋体" w:cs="宋体"/>
          <w:color w:val="auto"/>
          <w:highlight w:val="none"/>
          <w:lang w:val="en-US" w:eastAsia="zh-CN"/>
        </w:rPr>
      </w:pPr>
      <w:bookmarkStart w:id="878" w:name="_Toc28850"/>
      <w:r>
        <w:rPr>
          <w:rFonts w:hint="eastAsia" w:ascii="宋体" w:hAnsi="宋体" w:eastAsia="宋体" w:cs="宋体"/>
          <w:color w:val="auto"/>
          <w:highlight w:val="none"/>
          <w:lang w:val="en-US" w:eastAsia="zh-CN"/>
        </w:rPr>
        <w:t>实质性要求承诺</w:t>
      </w:r>
      <w:bookmarkEnd w:id="878"/>
    </w:p>
    <w:p>
      <w:pPr>
        <w:pStyle w:val="25"/>
        <w:bidi w:val="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lang w:val="en-US" w:eastAsia="zh-CN"/>
        </w:rPr>
        <w:t>方</w:t>
      </w:r>
      <w:r>
        <w:rPr>
          <w:rFonts w:hint="eastAsia" w:ascii="宋体" w:hAnsi="宋体" w:eastAsia="宋体" w:cs="宋体"/>
          <w:color w:val="auto"/>
          <w:highlight w:val="none"/>
        </w:rPr>
        <w:t>作为本次采购项目的</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，根据</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要求，现郑重承诺及声明如下：</w:t>
      </w:r>
    </w:p>
    <w:p>
      <w:pPr>
        <w:pStyle w:val="39"/>
        <w:numPr>
          <w:ilvl w:val="2"/>
          <w:numId w:val="23"/>
        </w:numPr>
        <w:bidi w:val="0"/>
        <w:rPr>
          <w:rFonts w:hint="eastAsia" w:ascii="宋体" w:hAnsi="宋体" w:eastAsia="宋体" w:cs="宋体"/>
          <w:color w:val="auto"/>
          <w:highlight w:val="none"/>
        </w:rPr>
      </w:pPr>
      <w:r>
        <w:rPr>
          <w:rFonts w:hint="eastAsia" w:ascii="宋体" w:hAnsi="宋体" w:eastAsia="宋体" w:cs="宋体"/>
          <w:color w:val="auto"/>
          <w:highlight w:val="none"/>
        </w:rPr>
        <w:t>我方已认真阅读并接受本项目</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rPr>
        <w:t>的全部实质性要求</w:t>
      </w:r>
      <w:r>
        <w:rPr>
          <w:rFonts w:hint="eastAsia" w:ascii="宋体" w:hAnsi="宋体" w:eastAsia="宋体" w:cs="宋体"/>
          <w:color w:val="auto"/>
          <w:highlight w:val="none"/>
          <w:lang w:eastAsia="zh-CN"/>
        </w:rPr>
        <w:t>。</w:t>
      </w:r>
    </w:p>
    <w:p>
      <w:pPr>
        <w:pStyle w:val="39"/>
        <w:numPr>
          <w:ilvl w:val="2"/>
          <w:numId w:val="23"/>
        </w:num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我方</w:t>
      </w:r>
      <w:r>
        <w:rPr>
          <w:rFonts w:hint="eastAsia" w:ascii="宋体" w:hAnsi="宋体" w:eastAsia="宋体" w:cs="宋体"/>
          <w:color w:val="auto"/>
          <w:highlight w:val="none"/>
        </w:rPr>
        <w:t>参加本次采购活动，不存在与单位负责人为同一人或者存在直接控股、管理关系的其他供应商参与同一合同项下的政府采购活动的行为。</w:t>
      </w:r>
      <w:r>
        <w:rPr>
          <w:rFonts w:hint="eastAsia" w:ascii="宋体" w:hAnsi="宋体" w:eastAsia="宋体" w:cs="宋体"/>
          <w:color w:val="auto"/>
          <w:sz w:val="24"/>
          <w:szCs w:val="24"/>
          <w:highlight w:val="none"/>
          <w:lang w:val="en-US" w:eastAsia="zh-CN"/>
        </w:rPr>
        <w:t>与我方</w:t>
      </w:r>
      <w:r>
        <w:rPr>
          <w:rFonts w:hint="eastAsia" w:ascii="宋体" w:hAnsi="宋体" w:eastAsia="宋体" w:cs="宋体"/>
          <w:color w:val="auto"/>
          <w:sz w:val="24"/>
          <w:szCs w:val="24"/>
          <w:highlight w:val="none"/>
        </w:rPr>
        <w:t>存在直接控股关系的</w:t>
      </w:r>
      <w:r>
        <w:rPr>
          <w:rFonts w:hint="eastAsia" w:ascii="宋体" w:hAnsi="宋体" w:eastAsia="宋体" w:cs="宋体"/>
          <w:color w:val="auto"/>
          <w:sz w:val="24"/>
          <w:szCs w:val="24"/>
          <w:highlight w:val="none"/>
          <w:lang w:val="en-US" w:eastAsia="zh-CN"/>
        </w:rPr>
        <w:t>单位为：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存在</w:t>
      </w:r>
      <w:r>
        <w:rPr>
          <w:rFonts w:hint="eastAsia" w:ascii="宋体" w:hAnsi="宋体" w:eastAsia="宋体" w:cs="宋体"/>
          <w:color w:val="auto"/>
          <w:sz w:val="24"/>
          <w:szCs w:val="24"/>
          <w:highlight w:val="none"/>
        </w:rPr>
        <w:t>管理关系的</w:t>
      </w:r>
      <w:r>
        <w:rPr>
          <w:rFonts w:hint="eastAsia" w:ascii="宋体" w:hAnsi="宋体" w:eastAsia="宋体" w:cs="宋体"/>
          <w:color w:val="auto"/>
          <w:sz w:val="24"/>
          <w:szCs w:val="24"/>
          <w:highlight w:val="none"/>
          <w:lang w:val="en-US" w:eastAsia="zh-CN"/>
        </w:rPr>
        <w:t>单位为：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(如不存在</w:t>
      </w:r>
      <w:r>
        <w:rPr>
          <w:rFonts w:hint="eastAsia" w:ascii="宋体" w:hAnsi="宋体" w:eastAsia="宋体" w:cs="宋体"/>
          <w:color w:val="auto"/>
          <w:sz w:val="24"/>
          <w:szCs w:val="24"/>
          <w:highlight w:val="none"/>
        </w:rPr>
        <w:t>直接控股、管理关系的相关供应商</w:t>
      </w:r>
      <w:r>
        <w:rPr>
          <w:rFonts w:hint="eastAsia" w:ascii="宋体" w:hAnsi="宋体" w:eastAsia="宋体" w:cs="宋体"/>
          <w:color w:val="auto"/>
          <w:sz w:val="24"/>
          <w:szCs w:val="24"/>
          <w:highlight w:val="none"/>
          <w:lang w:val="en-US" w:eastAsia="zh-CN"/>
        </w:rPr>
        <w:t>填“无”</w:t>
      </w:r>
      <w:r>
        <w:rPr>
          <w:rFonts w:hint="eastAsia" w:ascii="宋体" w:hAnsi="宋体" w:eastAsia="宋体" w:cs="宋体"/>
          <w:color w:val="auto"/>
          <w:sz w:val="24"/>
          <w:szCs w:val="24"/>
          <w:highlight w:val="none"/>
          <w:u w:val="none"/>
          <w:lang w:val="en-US" w:eastAsia="zh-CN"/>
        </w:rPr>
        <w:t>)。</w:t>
      </w:r>
    </w:p>
    <w:p>
      <w:pPr>
        <w:pStyle w:val="39"/>
        <w:numPr>
          <w:ilvl w:val="2"/>
          <w:numId w:val="23"/>
        </w:num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我方</w:t>
      </w:r>
      <w:r>
        <w:rPr>
          <w:rFonts w:hint="eastAsia" w:ascii="宋体" w:hAnsi="宋体" w:eastAsia="宋体" w:cs="宋体"/>
          <w:color w:val="auto"/>
          <w:highlight w:val="none"/>
        </w:rPr>
        <w:t>参加本次采购活动前本单位未对本次采购项目提供过整体设计、规范编制或者项目管理、监理、检测等服务。</w:t>
      </w:r>
    </w:p>
    <w:p>
      <w:pPr>
        <w:pStyle w:val="39"/>
        <w:numPr>
          <w:ilvl w:val="2"/>
          <w:numId w:val="23"/>
        </w:numPr>
        <w:bidi w:val="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我方</w:t>
      </w:r>
      <w:r>
        <w:rPr>
          <w:rFonts w:hint="eastAsia" w:ascii="宋体" w:hAnsi="宋体" w:eastAsia="宋体" w:cs="宋体"/>
          <w:color w:val="auto"/>
          <w:highlight w:val="none"/>
        </w:rPr>
        <w:t>参加本次采购活动，</w:t>
      </w:r>
      <w:r>
        <w:rPr>
          <w:rFonts w:hint="eastAsia" w:ascii="宋体" w:hAnsi="宋体" w:eastAsia="宋体" w:cs="宋体"/>
          <w:color w:val="auto"/>
          <w:highlight w:val="none"/>
          <w:lang w:val="en-US" w:eastAsia="zh-CN"/>
        </w:rPr>
        <w:t>不存在我单位实际控制人或者中高级管理人员是本项目采购代理机构的工作人员的情形。</w:t>
      </w:r>
    </w:p>
    <w:p>
      <w:pPr>
        <w:pStyle w:val="39"/>
        <w:numPr>
          <w:ilvl w:val="2"/>
          <w:numId w:val="23"/>
        </w:num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我方</w:t>
      </w:r>
      <w:r>
        <w:rPr>
          <w:rFonts w:hint="eastAsia" w:ascii="宋体" w:hAnsi="宋体" w:eastAsia="宋体" w:cs="宋体"/>
          <w:color w:val="auto"/>
          <w:highlight w:val="none"/>
        </w:rPr>
        <w:t>参加本次采购活动，</w:t>
      </w:r>
      <w:r>
        <w:rPr>
          <w:rFonts w:hint="eastAsia" w:ascii="宋体" w:hAnsi="宋体" w:eastAsia="宋体" w:cs="宋体"/>
          <w:color w:val="auto"/>
          <w:highlight w:val="none"/>
          <w:lang w:val="en-US" w:eastAsia="zh-CN"/>
        </w:rPr>
        <w:t>不存在</w:t>
      </w:r>
      <w:r>
        <w:rPr>
          <w:rFonts w:hint="eastAsia" w:ascii="宋体" w:hAnsi="宋体" w:eastAsia="宋体" w:cs="宋体"/>
          <w:color w:val="auto"/>
          <w:highlight w:val="none"/>
        </w:rPr>
        <w:t>同一母公司的两家以上的子公司以不同供应商身份同时参加本项目同一合同项下的采购活动</w:t>
      </w:r>
      <w:r>
        <w:rPr>
          <w:rFonts w:hint="eastAsia" w:ascii="宋体" w:hAnsi="宋体" w:eastAsia="宋体" w:cs="宋体"/>
          <w:color w:val="auto"/>
          <w:highlight w:val="none"/>
          <w:lang w:val="en-US" w:eastAsia="zh-CN"/>
        </w:rPr>
        <w:t>的情形</w:t>
      </w:r>
      <w:r>
        <w:rPr>
          <w:rFonts w:hint="eastAsia" w:ascii="宋体" w:hAnsi="宋体" w:eastAsia="宋体" w:cs="宋体"/>
          <w:color w:val="auto"/>
          <w:highlight w:val="none"/>
          <w:lang w:eastAsia="zh-CN"/>
        </w:rPr>
        <w:t>。</w:t>
      </w:r>
    </w:p>
    <w:p>
      <w:pPr>
        <w:pStyle w:val="39"/>
        <w:numPr>
          <w:ilvl w:val="2"/>
          <w:numId w:val="23"/>
        </w:num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我方</w:t>
      </w:r>
      <w:r>
        <w:rPr>
          <w:rFonts w:hint="eastAsia" w:ascii="宋体" w:hAnsi="宋体" w:eastAsia="宋体" w:cs="宋体"/>
          <w:color w:val="auto"/>
          <w:highlight w:val="none"/>
        </w:rPr>
        <w:t>参加本次采购活动，</w:t>
      </w:r>
      <w:r>
        <w:rPr>
          <w:rFonts w:hint="eastAsia" w:ascii="宋体" w:hAnsi="宋体" w:eastAsia="宋体" w:cs="宋体"/>
          <w:color w:val="auto"/>
          <w:highlight w:val="none"/>
          <w:lang w:val="en-US"/>
        </w:rPr>
        <w:t>与采购代理机构</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lang w:val="en-US"/>
        </w:rPr>
        <w:t>存在关联关系，</w:t>
      </w:r>
      <w:r>
        <w:rPr>
          <w:rFonts w:hint="eastAsia" w:ascii="宋体" w:hAnsi="宋体" w:eastAsia="宋体" w:cs="宋体"/>
          <w:color w:val="auto"/>
          <w:highlight w:val="none"/>
          <w:lang w:val="en-US" w:eastAsia="zh-CN"/>
        </w:rPr>
        <w:t>不为</w:t>
      </w:r>
      <w:r>
        <w:rPr>
          <w:rFonts w:hint="eastAsia" w:ascii="宋体" w:hAnsi="宋体" w:eastAsia="宋体" w:cs="宋体"/>
          <w:color w:val="auto"/>
          <w:highlight w:val="none"/>
          <w:lang w:val="en-US"/>
        </w:rPr>
        <w:t>采购代理机构的母公司或子公司</w:t>
      </w:r>
      <w:r>
        <w:rPr>
          <w:rFonts w:hint="eastAsia" w:ascii="宋体" w:hAnsi="宋体" w:eastAsia="宋体" w:cs="宋体"/>
          <w:color w:val="auto"/>
          <w:highlight w:val="none"/>
          <w:lang w:val="en-US" w:eastAsia="zh-CN"/>
        </w:rPr>
        <w:t>。</w:t>
      </w:r>
    </w:p>
    <w:p>
      <w:pPr>
        <w:pStyle w:val="39"/>
        <w:numPr>
          <w:ilvl w:val="2"/>
          <w:numId w:val="23"/>
        </w:num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我方</w:t>
      </w:r>
      <w:r>
        <w:rPr>
          <w:rFonts w:hint="eastAsia" w:ascii="宋体" w:hAnsi="宋体" w:eastAsia="宋体" w:cs="宋体"/>
          <w:color w:val="auto"/>
          <w:highlight w:val="none"/>
        </w:rPr>
        <w:t>参加本次采购活动，不存在和其他供应商在同一合同项下的采购项目中，同时委托同一个自然人、同一家庭的人员、同一单位的人员作为代理人的行为。</w:t>
      </w:r>
    </w:p>
    <w:p>
      <w:pPr>
        <w:pStyle w:val="39"/>
        <w:numPr>
          <w:ilvl w:val="2"/>
          <w:numId w:val="23"/>
        </w:numPr>
        <w:bidi w:val="0"/>
        <w:rPr>
          <w:rFonts w:hint="eastAsia" w:ascii="宋体" w:hAnsi="宋体" w:eastAsia="宋体" w:cs="宋体"/>
          <w:color w:val="auto"/>
          <w:highlight w:val="none"/>
        </w:rPr>
      </w:pPr>
      <w:r>
        <w:rPr>
          <w:rFonts w:hint="eastAsia" w:ascii="宋体" w:hAnsi="宋体" w:eastAsia="宋体" w:cs="宋体"/>
          <w:color w:val="auto"/>
          <w:highlight w:val="none"/>
        </w:rPr>
        <w:t>如有《四川省政府采购当事人诚信管理办法》</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川财采</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2015</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33号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规定的记入诚信档案的失信行为，将在</w:t>
      </w:r>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中全面如实反映</w:t>
      </w:r>
      <w:r>
        <w:rPr>
          <w:rFonts w:hint="eastAsia" w:ascii="宋体" w:hAnsi="宋体" w:eastAsia="宋体" w:cs="宋体"/>
          <w:color w:val="auto"/>
          <w:highlight w:val="none"/>
          <w:lang w:eastAsia="zh-CN"/>
        </w:rPr>
        <w:t>。</w:t>
      </w:r>
    </w:p>
    <w:p>
      <w:pPr>
        <w:pStyle w:val="39"/>
        <w:numPr>
          <w:ilvl w:val="2"/>
          <w:numId w:val="23"/>
        </w:num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我方</w:t>
      </w:r>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中提供的任何资料和技术、服务、商务等响应承诺情况都是真实的、有效的、合法的。</w:t>
      </w:r>
    </w:p>
    <w:p>
      <w:pPr>
        <w:pStyle w:val="39"/>
        <w:numPr>
          <w:ilvl w:val="2"/>
          <w:numId w:val="23"/>
        </w:num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我方</w:t>
      </w:r>
      <w:r>
        <w:rPr>
          <w:rFonts w:hint="eastAsia" w:ascii="宋体" w:hAnsi="宋体" w:eastAsia="宋体" w:cs="宋体"/>
          <w:color w:val="auto"/>
          <w:highlight w:val="none"/>
        </w:rPr>
        <w:t>参加本次采购活动，我方完全同意</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中</w:t>
      </w:r>
      <w:r>
        <w:rPr>
          <w:rFonts w:hint="eastAsia" w:ascii="宋体" w:hAnsi="宋体" w:eastAsia="宋体" w:cs="宋体"/>
          <w:color w:val="auto"/>
          <w:highlight w:val="none"/>
        </w:rPr>
        <w:t>关于“</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费用”、“合同分包”、“合同转包”、“履约保证金”</w:t>
      </w:r>
      <w:r>
        <w:rPr>
          <w:rFonts w:hint="eastAsia" w:ascii="宋体" w:hAnsi="宋体" w:eastAsia="宋体" w:cs="宋体"/>
          <w:color w:val="auto"/>
          <w:highlight w:val="none"/>
          <w:lang w:val="en-US" w:eastAsia="zh-CN"/>
        </w:rPr>
        <w:t>等</w:t>
      </w:r>
      <w:r>
        <w:rPr>
          <w:rFonts w:hint="eastAsia" w:ascii="宋体" w:hAnsi="宋体" w:eastAsia="宋体" w:cs="宋体"/>
          <w:color w:val="auto"/>
          <w:highlight w:val="none"/>
        </w:rPr>
        <w:t>实质性要求，并承诺严格按照</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文件要求履行。</w:t>
      </w:r>
    </w:p>
    <w:p>
      <w:pPr>
        <w:pStyle w:val="39"/>
        <w:numPr>
          <w:ilvl w:val="2"/>
          <w:numId w:val="23"/>
        </w:numPr>
        <w:bidi w:val="0"/>
        <w:rPr>
          <w:rFonts w:hint="eastAsia" w:ascii="宋体" w:hAnsi="宋体" w:eastAsia="宋体" w:cs="宋体"/>
          <w:color w:val="auto"/>
          <w:highlight w:val="none"/>
        </w:rPr>
      </w:pPr>
      <w:r>
        <w:rPr>
          <w:rFonts w:hint="eastAsia" w:ascii="宋体" w:hAnsi="宋体" w:eastAsia="宋体" w:cs="宋体"/>
          <w:color w:val="auto"/>
          <w:highlight w:val="none"/>
        </w:rPr>
        <w:t>我方保证在本项目使用的任何产品和服务</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包括部分使用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w:t>
      </w:r>
      <w:r>
        <w:rPr>
          <w:rFonts w:hint="eastAsia" w:ascii="宋体" w:hAnsi="宋体" w:eastAsia="宋体" w:cs="宋体"/>
          <w:color w:val="auto"/>
          <w:highlight w:val="none"/>
          <w:lang w:val="en-US" w:eastAsia="zh-CN"/>
        </w:rPr>
        <w:t>相关</w:t>
      </w:r>
      <w:r>
        <w:rPr>
          <w:rFonts w:hint="eastAsia" w:ascii="宋体" w:hAnsi="宋体" w:eastAsia="宋体" w:cs="宋体"/>
          <w:color w:val="auto"/>
          <w:highlight w:val="none"/>
        </w:rPr>
        <w:t>技术文档，并提供无限期技术支持，采购人享有永久使用权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含采购人委托第三方在该项目后续开发的使用权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。如我方在项目实施过程中采用非自有的知识产权，则在投标报价中已包括合法获取该知识产权的相关费用。</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本公司对上述承诺的内容事项真实性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负责。如经查实上述承诺的内容事项存在虚假，我公司</w:t>
      </w:r>
      <w:r>
        <w:rPr>
          <w:rFonts w:hint="eastAsia" w:ascii="宋体" w:hAnsi="宋体" w:eastAsia="宋体" w:cs="宋体"/>
          <w:color w:val="auto"/>
          <w:highlight w:val="none"/>
          <w:lang w:val="en-US" w:eastAsia="zh-CN"/>
        </w:rPr>
        <w:t>自愿</w:t>
      </w:r>
      <w:r>
        <w:rPr>
          <w:rFonts w:hint="eastAsia" w:ascii="宋体" w:hAnsi="宋体" w:eastAsia="宋体" w:cs="宋体"/>
          <w:color w:val="auto"/>
          <w:highlight w:val="none"/>
        </w:rPr>
        <w:t>接受以提供虚假材料谋取</w:t>
      </w:r>
      <w:r>
        <w:rPr>
          <w:rFonts w:hint="eastAsia" w:ascii="宋体" w:hAnsi="宋体" w:eastAsia="宋体" w:cs="宋体"/>
          <w:color w:val="auto"/>
          <w:highlight w:val="none"/>
          <w:lang w:val="en-US" w:eastAsia="zh-CN"/>
        </w:rPr>
        <w:t>中标所带来的所有</w:t>
      </w:r>
      <w:r>
        <w:rPr>
          <w:rFonts w:hint="eastAsia" w:ascii="宋体" w:hAnsi="宋体" w:eastAsia="宋体" w:cs="宋体"/>
          <w:color w:val="auto"/>
          <w:highlight w:val="none"/>
        </w:rPr>
        <w:t>法律责任。</w:t>
      </w:r>
    </w:p>
    <w:p>
      <w:pPr>
        <w:pStyle w:val="25"/>
        <w:bidi w:val="0"/>
        <w:rPr>
          <w:rFonts w:hint="eastAsia" w:ascii="宋体" w:hAnsi="宋体" w:eastAsia="宋体" w:cs="宋体"/>
          <w:color w:val="auto"/>
          <w:highlight w:val="none"/>
          <w:lang w:val="en-US" w:eastAsia="zh-CN"/>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highlight w:val="none"/>
        </w:rPr>
        <w:t>(盖章)</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highlight w:val="none"/>
          <w:lang w:val="en-US" w:eastAsia="zh-CN"/>
        </w:rPr>
        <w:t xml:space="preserve">         </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47"/>
        <w:numPr>
          <w:ilvl w:val="0"/>
          <w:numId w:val="21"/>
        </w:numPr>
        <w:bidi w:val="0"/>
        <w:ind w:left="0" w:leftChars="0" w:firstLine="0" w:firstLineChars="0"/>
        <w:rPr>
          <w:rFonts w:hint="eastAsia" w:ascii="宋体" w:hAnsi="宋体" w:eastAsia="宋体" w:cs="宋体"/>
          <w:color w:val="auto"/>
          <w:highlight w:val="none"/>
          <w:lang w:val="en-US" w:eastAsia="zh-CN"/>
        </w:rPr>
      </w:pPr>
      <w:bookmarkStart w:id="879" w:name="_Toc14990"/>
      <w:bookmarkStart w:id="880" w:name="_Toc31337"/>
      <w:bookmarkStart w:id="881" w:name="_Toc25849"/>
      <w:r>
        <w:rPr>
          <w:rFonts w:hint="eastAsia" w:ascii="宋体" w:hAnsi="宋体" w:eastAsia="宋体" w:cs="宋体"/>
          <w:color w:val="auto"/>
          <w:highlight w:val="none"/>
          <w:lang w:val="en-US" w:eastAsia="zh-CN"/>
        </w:rPr>
        <w:t>投标人诚信情况承诺函</w:t>
      </w:r>
      <w:bookmarkEnd w:id="879"/>
      <w:bookmarkEnd w:id="880"/>
      <w:bookmarkEnd w:id="881"/>
    </w:p>
    <w:p>
      <w:pPr>
        <w:keepNext w:val="0"/>
        <w:keepLines w:val="0"/>
        <w:pageBreakBefore w:val="0"/>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u w:val="single"/>
          <w:lang w:val="en-US" w:eastAsia="zh-CN" w:bidi="ar-SA"/>
        </w:rPr>
        <w:t xml:space="preserve">                   </w:t>
      </w:r>
      <w:r>
        <w:rPr>
          <w:rFonts w:hint="eastAsia" w:ascii="宋体" w:hAnsi="宋体" w:eastAsia="宋体" w:cs="宋体"/>
          <w:snapToGrid w:val="0"/>
          <w:color w:val="auto"/>
          <w:kern w:val="2"/>
          <w:sz w:val="24"/>
          <w:szCs w:val="24"/>
          <w:highlight w:val="none"/>
          <w:lang w:val="en-US" w:eastAsia="zh-CN" w:bidi="ar-SA"/>
        </w:rPr>
        <w:t>(采购代理机构名称)：</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本单位</w:t>
      </w:r>
      <w:r>
        <w:rPr>
          <w:rFonts w:hint="eastAsia" w:ascii="宋体" w:hAnsi="宋体" w:eastAsia="宋体" w:cs="宋体"/>
          <w:snapToGrid w:val="0"/>
          <w:color w:val="auto"/>
          <w:kern w:val="2"/>
          <w:sz w:val="24"/>
          <w:szCs w:val="24"/>
          <w:highlight w:val="none"/>
          <w:u w:val="single"/>
          <w:lang w:val="en-US" w:eastAsia="zh-CN" w:bidi="ar-SA"/>
        </w:rPr>
        <w:t xml:space="preserve">       </w:t>
      </w:r>
      <w:r>
        <w:rPr>
          <w:rFonts w:hint="eastAsia" w:ascii="宋体" w:hAnsi="宋体" w:eastAsia="宋体" w:cs="宋体"/>
          <w:snapToGrid w:val="0"/>
          <w:color w:val="auto"/>
          <w:kern w:val="2"/>
          <w:sz w:val="24"/>
          <w:szCs w:val="24"/>
          <w:highlight w:val="none"/>
          <w:lang w:val="en-US" w:eastAsia="zh-CN" w:bidi="ar-SA"/>
        </w:rPr>
        <w:t>(供应商名称)参加</w:t>
      </w:r>
      <w:r>
        <w:rPr>
          <w:rFonts w:hint="eastAsia" w:ascii="宋体" w:hAnsi="宋体" w:eastAsia="宋体" w:cs="宋体"/>
          <w:snapToGrid w:val="0"/>
          <w:color w:val="auto"/>
          <w:kern w:val="2"/>
          <w:sz w:val="24"/>
          <w:szCs w:val="24"/>
          <w:highlight w:val="none"/>
          <w:u w:val="single"/>
          <w:lang w:val="en-US" w:eastAsia="zh-CN" w:bidi="ar-SA"/>
        </w:rPr>
        <w:t xml:space="preserve">        </w:t>
      </w:r>
      <w:r>
        <w:rPr>
          <w:rFonts w:hint="eastAsia" w:ascii="宋体" w:hAnsi="宋体" w:eastAsia="宋体" w:cs="宋体"/>
          <w:snapToGrid w:val="0"/>
          <w:color w:val="auto"/>
          <w:kern w:val="2"/>
          <w:sz w:val="24"/>
          <w:szCs w:val="24"/>
          <w:highlight w:val="none"/>
          <w:lang w:val="en-US" w:eastAsia="zh-CN" w:bidi="ar-SA"/>
        </w:rPr>
        <w:t>(项目名称及项目编号)的政府采购活动，现参照《四川省政府采购当事人诚信管理办法》(川财采〔2015〕33号)的相关规定，针对本单位的诚信情况作出以下承诺：</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我单位具有《四川省政府采购当事人诚信管理办法》(川财采〔2015〕33号)所规定的失信行为</w:t>
      </w:r>
      <w:r>
        <w:rPr>
          <w:rFonts w:hint="eastAsia" w:ascii="宋体" w:hAnsi="宋体" w:eastAsia="宋体" w:cs="宋体"/>
          <w:snapToGrid w:val="0"/>
          <w:color w:val="auto"/>
          <w:kern w:val="2"/>
          <w:sz w:val="24"/>
          <w:szCs w:val="24"/>
          <w:highlight w:val="none"/>
          <w:u w:val="single"/>
          <w:lang w:val="en-US" w:eastAsia="zh-CN" w:bidi="ar-SA"/>
        </w:rPr>
        <w:t xml:space="preserve">      </w:t>
      </w:r>
      <w:r>
        <w:rPr>
          <w:rFonts w:hint="eastAsia" w:ascii="宋体" w:hAnsi="宋体" w:eastAsia="宋体" w:cs="宋体"/>
          <w:snapToGrid w:val="0"/>
          <w:color w:val="auto"/>
          <w:kern w:val="2"/>
          <w:sz w:val="24"/>
          <w:szCs w:val="24"/>
          <w:highlight w:val="none"/>
          <w:lang w:val="en-US" w:eastAsia="zh-CN" w:bidi="ar-SA"/>
        </w:rPr>
        <w:t>次(仅限递交投标文件截止当日仍在有效期的次数，填写失信行为的次数时，建议使用大写数字，如零、壹、贰、叁、肆等)。</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我单位对以上填写信息的真实性负责。如有不实，本单位愿承担由此产生的一切法律责任和后果。</w:t>
      </w:r>
    </w:p>
    <w:p>
      <w:pPr>
        <w:pStyle w:val="29"/>
        <w:bidi w:val="0"/>
        <w:rPr>
          <w:rFonts w:hint="eastAsia" w:ascii="宋体" w:hAnsi="宋体" w:eastAsia="宋体" w:cs="宋体"/>
          <w:color w:val="auto"/>
          <w:highlight w:val="none"/>
          <w:lang w:val="en-US" w:eastAsia="zh-CN"/>
        </w:rPr>
      </w:pP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p>
    <w:p>
      <w:pPr>
        <w:pStyle w:val="4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本表格式及内容仅供参考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w:t>
      </w:r>
      <w:r>
        <w:rPr>
          <w:rFonts w:hint="eastAsia" w:ascii="宋体" w:hAnsi="宋体" w:eastAsia="宋体" w:cs="宋体"/>
          <w:color w:val="auto"/>
          <w:highlight w:val="none"/>
          <w:lang w:val="en-US" w:eastAsia="zh-CN"/>
        </w:rPr>
        <w:t>自拟格式</w:t>
      </w:r>
      <w:r>
        <w:rPr>
          <w:rFonts w:hint="eastAsia" w:ascii="宋体" w:hAnsi="宋体" w:eastAsia="宋体" w:cs="宋体"/>
          <w:color w:val="auto"/>
          <w:highlight w:val="none"/>
        </w:rPr>
        <w:t>；</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2 \* GB3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②</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供应商存在以上所述失信行为的，将按照第二章</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须知</w:t>
      </w:r>
      <w:r>
        <w:rPr>
          <w:rFonts w:hint="eastAsia" w:ascii="宋体" w:hAnsi="宋体" w:eastAsia="宋体" w:cs="宋体"/>
          <w:color w:val="auto"/>
          <w:highlight w:val="none"/>
          <w:lang w:val="en-US" w:eastAsia="zh-CN"/>
        </w:rPr>
        <w:t>前</w:t>
      </w:r>
      <w:r>
        <w:rPr>
          <w:rFonts w:hint="eastAsia" w:ascii="宋体" w:hAnsi="宋体" w:eastAsia="宋体" w:cs="宋体"/>
          <w:color w:val="auto"/>
          <w:highlight w:val="none"/>
        </w:rPr>
        <w:t>附表的要求进行处理；</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3 \* GB3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③</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财政部门对政府采购当事人的失信行为依法进行处罚、处理后，</w:t>
      </w:r>
      <w:r>
        <w:rPr>
          <w:rFonts w:hint="eastAsia" w:ascii="宋体" w:hAnsi="宋体" w:eastAsia="宋体" w:cs="宋体"/>
          <w:color w:val="auto"/>
          <w:highlight w:val="none"/>
          <w:lang w:val="en-US" w:eastAsia="zh-CN"/>
        </w:rPr>
        <w:t>已</w:t>
      </w:r>
      <w:r>
        <w:rPr>
          <w:rFonts w:hint="eastAsia" w:ascii="宋体" w:hAnsi="宋体" w:eastAsia="宋体" w:cs="宋体"/>
          <w:color w:val="auto"/>
          <w:highlight w:val="none"/>
        </w:rPr>
        <w:t>在</w:t>
      </w:r>
      <w:r>
        <w:rPr>
          <w:rFonts w:hint="eastAsia" w:ascii="宋体" w:hAnsi="宋体" w:eastAsia="宋体" w:cs="宋体"/>
          <w:color w:val="auto"/>
          <w:highlight w:val="none"/>
          <w:lang w:eastAsia="zh-CN"/>
        </w:rPr>
        <w:t>“四川政府采购网”</w:t>
      </w:r>
      <w:r>
        <w:rPr>
          <w:rFonts w:hint="eastAsia" w:ascii="宋体" w:hAnsi="宋体" w:eastAsia="宋体" w:cs="宋体"/>
          <w:color w:val="auto"/>
          <w:highlight w:val="none"/>
        </w:rPr>
        <w:t>向社会公告，并记入诚信档案，有效期为1年。工商部门、税务部门、审判机关及其他有关部门单位认定供应商的失信行为明确了有效期的，不再重复计算。</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4 \* GB3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④</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供应商的失信行为受到行政处罚或司法惩处的，评审时不再对其以价格加成进行惩戒。</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7"/>
        <w:numPr>
          <w:ilvl w:val="0"/>
          <w:numId w:val="21"/>
        </w:numPr>
        <w:bidi w:val="0"/>
        <w:ind w:left="0" w:leftChars="0" w:firstLine="0" w:firstLineChars="0"/>
        <w:rPr>
          <w:rFonts w:hint="eastAsia" w:ascii="宋体" w:hAnsi="宋体" w:eastAsia="宋体" w:cs="宋体"/>
          <w:color w:val="auto"/>
          <w:highlight w:val="none"/>
          <w:lang w:val="en-US" w:eastAsia="zh-CN"/>
        </w:rPr>
      </w:pPr>
      <w:bookmarkStart w:id="882" w:name="_Toc4219"/>
      <w:bookmarkStart w:id="883" w:name="_Toc17762"/>
      <w:r>
        <w:rPr>
          <w:rFonts w:hint="eastAsia" w:ascii="宋体" w:hAnsi="宋体" w:eastAsia="宋体" w:cs="宋体"/>
          <w:color w:val="auto"/>
          <w:highlight w:val="none"/>
          <w:lang w:val="en-US" w:eastAsia="zh-CN"/>
        </w:rPr>
        <w:t>投标人基本情况表</w:t>
      </w:r>
      <w:bookmarkEnd w:id="882"/>
      <w:bookmarkEnd w:id="883"/>
    </w:p>
    <w:tbl>
      <w:tblPr>
        <w:tblStyle w:val="1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w:t>
            </w:r>
          </w:p>
        </w:tc>
        <w:tc>
          <w:tcPr>
            <w:tcW w:w="8186" w:type="dxa"/>
            <w:gridSpan w:val="7"/>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4012" w:type="dxa"/>
            <w:gridSpan w:val="3"/>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2626" w:type="dxa"/>
            <w:gridSpan w:val="3"/>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112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288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2626" w:type="dxa"/>
            <w:gridSpan w:val="3"/>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c>
          <w:tcPr>
            <w:tcW w:w="112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传真</w:t>
            </w:r>
          </w:p>
        </w:tc>
        <w:tc>
          <w:tcPr>
            <w:tcW w:w="288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网址</w:t>
            </w:r>
          </w:p>
        </w:tc>
        <w:tc>
          <w:tcPr>
            <w:tcW w:w="2626" w:type="dxa"/>
            <w:gridSpan w:val="3"/>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112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432"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c>
          <w:tcPr>
            <w:tcW w:w="145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c>
          <w:tcPr>
            <w:tcW w:w="136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262"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112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432"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c>
          <w:tcPr>
            <w:tcW w:w="145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548"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c>
          <w:tcPr>
            <w:tcW w:w="136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262"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成立时间</w:t>
            </w:r>
          </w:p>
        </w:tc>
        <w:tc>
          <w:tcPr>
            <w:tcW w:w="255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c>
          <w:tcPr>
            <w:tcW w:w="5629" w:type="dxa"/>
            <w:gridSpan w:val="5"/>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企业资质等级</w:t>
            </w:r>
          </w:p>
        </w:tc>
        <w:tc>
          <w:tcPr>
            <w:tcW w:w="255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c>
          <w:tcPr>
            <w:tcW w:w="1455" w:type="dxa"/>
            <w:vMerge w:val="restart"/>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营业执照号/统一社会信用代码</w:t>
            </w:r>
          </w:p>
        </w:tc>
        <w:tc>
          <w:tcPr>
            <w:tcW w:w="255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c>
          <w:tcPr>
            <w:tcW w:w="1455"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高级职称人员</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注册资金</w:t>
            </w:r>
          </w:p>
        </w:tc>
        <w:tc>
          <w:tcPr>
            <w:tcW w:w="255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c>
          <w:tcPr>
            <w:tcW w:w="1455"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中级职称人员</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255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c>
          <w:tcPr>
            <w:tcW w:w="1455"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初级职称人员</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255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c>
          <w:tcPr>
            <w:tcW w:w="1455" w:type="dxa"/>
            <w:vMerge w:val="continue"/>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c>
          <w:tcPr>
            <w:tcW w:w="1734"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技工</w:t>
            </w:r>
          </w:p>
        </w:tc>
        <w:tc>
          <w:tcPr>
            <w:tcW w:w="2440"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营业收入</w:t>
            </w:r>
          </w:p>
        </w:tc>
        <w:tc>
          <w:tcPr>
            <w:tcW w:w="2557" w:type="dxa"/>
            <w:gridSpan w:val="2"/>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c>
          <w:tcPr>
            <w:tcW w:w="1455"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资产总额</w:t>
            </w:r>
          </w:p>
        </w:tc>
        <w:tc>
          <w:tcPr>
            <w:tcW w:w="4174" w:type="dxa"/>
            <w:gridSpan w:val="4"/>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经营范围</w:t>
            </w:r>
          </w:p>
        </w:tc>
        <w:tc>
          <w:tcPr>
            <w:tcW w:w="8186" w:type="dxa"/>
            <w:gridSpan w:val="7"/>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8"/>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8186" w:type="dxa"/>
            <w:gridSpan w:val="7"/>
            <w:vAlign w:val="top"/>
          </w:tcPr>
          <w:p>
            <w:pPr>
              <w:pStyle w:val="48"/>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ascii="宋体" w:hAnsi="宋体" w:eastAsia="宋体" w:cs="宋体"/>
                <w:color w:val="auto"/>
                <w:highlight w:val="none"/>
              </w:rPr>
            </w:pPr>
          </w:p>
        </w:tc>
      </w:tr>
    </w:tbl>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根据</w:t>
      </w:r>
      <w:r>
        <w:rPr>
          <w:rFonts w:hint="eastAsia" w:ascii="宋体" w:hAnsi="宋体" w:eastAsia="宋体" w:cs="宋体"/>
          <w:color w:val="auto"/>
          <w:highlight w:val="none"/>
          <w:lang w:val="en-US" w:eastAsia="zh-CN"/>
        </w:rPr>
        <w:t>自身</w:t>
      </w:r>
      <w:r>
        <w:rPr>
          <w:rFonts w:hint="eastAsia" w:ascii="宋体" w:hAnsi="宋体" w:eastAsia="宋体" w:cs="宋体"/>
          <w:color w:val="auto"/>
          <w:highlight w:val="none"/>
        </w:rPr>
        <w:t>实际情况</w:t>
      </w:r>
      <w:r>
        <w:rPr>
          <w:rFonts w:hint="eastAsia" w:ascii="宋体" w:hAnsi="宋体" w:eastAsia="宋体" w:cs="宋体"/>
          <w:color w:val="auto"/>
          <w:highlight w:val="none"/>
          <w:lang w:val="en-US" w:eastAsia="zh-CN"/>
        </w:rPr>
        <w:t>填写</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对不涉及的内容可填写“/”，</w:t>
      </w:r>
      <w:r>
        <w:rPr>
          <w:rFonts w:hint="eastAsia" w:ascii="宋体" w:hAnsi="宋体" w:eastAsia="宋体" w:cs="宋体"/>
          <w:color w:val="auto"/>
          <w:highlight w:val="none"/>
        </w:rPr>
        <w:t>不影响投标资质及效力。</w:t>
      </w:r>
    </w:p>
    <w:p>
      <w:pPr>
        <w:pStyle w:val="25"/>
        <w:bidi w:val="0"/>
        <w:rPr>
          <w:rFonts w:hint="eastAsia" w:ascii="宋体" w:hAnsi="宋体" w:eastAsia="宋体" w:cs="宋体"/>
          <w:color w:val="auto"/>
          <w:highlight w:val="none"/>
        </w:rPr>
      </w:pP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highlight w:val="none"/>
        </w:rPr>
        <w:t>(盖章)</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投标日期</w:t>
      </w:r>
      <w:r>
        <w:rPr>
          <w:rFonts w:hint="eastAsia" w:ascii="宋体" w:hAnsi="宋体" w:eastAsia="宋体" w:cs="宋体"/>
          <w:color w:val="auto"/>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highlight w:val="none"/>
          <w:lang w:val="en-US" w:eastAsia="zh-CN"/>
        </w:rPr>
        <w:t xml:space="preserve">       </w:t>
      </w:r>
    </w:p>
    <w:p>
      <w:pPr>
        <w:pStyle w:val="49"/>
        <w:bidi w:val="0"/>
        <w:rPr>
          <w:rFonts w:hint="eastAsia" w:ascii="宋体" w:hAnsi="宋体" w:eastAsia="宋体" w:cs="宋体"/>
          <w:color w:val="auto"/>
          <w:highlight w:val="none"/>
        </w:rPr>
      </w:pP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47"/>
        <w:numPr>
          <w:ilvl w:val="0"/>
          <w:numId w:val="21"/>
        </w:numPr>
        <w:bidi w:val="0"/>
        <w:ind w:left="0" w:leftChars="0" w:firstLine="0" w:firstLineChars="0"/>
        <w:rPr>
          <w:rFonts w:hint="eastAsia" w:ascii="宋体" w:hAnsi="宋体" w:eastAsia="宋体" w:cs="宋体"/>
          <w:color w:val="auto"/>
          <w:highlight w:val="none"/>
          <w:lang w:val="en-US" w:eastAsia="zh-CN"/>
        </w:rPr>
      </w:pPr>
      <w:bookmarkStart w:id="884" w:name="_Toc17941"/>
      <w:bookmarkStart w:id="885" w:name="_Toc30133"/>
      <w:bookmarkStart w:id="886" w:name="_Toc1650"/>
      <w:bookmarkStart w:id="887" w:name="_Toc5308"/>
      <w:bookmarkStart w:id="888" w:name="_Toc19766"/>
      <w:r>
        <w:rPr>
          <w:rFonts w:hint="eastAsia" w:ascii="宋体" w:hAnsi="宋体" w:eastAsia="宋体" w:cs="宋体"/>
          <w:color w:val="auto"/>
          <w:highlight w:val="none"/>
          <w:lang w:val="en-US" w:eastAsia="zh-CN"/>
        </w:rPr>
        <w:t>开标一览表</w:t>
      </w:r>
      <w:bookmarkEnd w:id="884"/>
      <w:bookmarkEnd w:id="885"/>
      <w:bookmarkEnd w:id="886"/>
      <w:bookmarkEnd w:id="887"/>
      <w:bookmarkEnd w:id="888"/>
    </w:p>
    <w:p>
      <w:pPr>
        <w:pStyle w:val="25"/>
        <w:bidi w:val="0"/>
        <w:rPr>
          <w:rFonts w:hint="eastAsia" w:ascii="宋体" w:hAnsi="宋体" w:eastAsia="宋体" w:cs="宋体"/>
          <w:color w:val="auto"/>
          <w:highlight w:val="none"/>
          <w:u w:val="singl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pStyle w:val="25"/>
        <w:bidi w:val="0"/>
        <w:rPr>
          <w:rFonts w:hint="eastAsia" w:ascii="宋体" w:hAnsi="宋体" w:eastAsia="宋体" w:cs="宋体"/>
          <w:color w:val="auto"/>
          <w:highlight w:val="none"/>
          <w:u w:val="singl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115"/>
        <w:gridCol w:w="2955"/>
        <w:gridCol w:w="211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56" w:type="dxa"/>
            <w:vAlign w:val="center"/>
          </w:tcPr>
          <w:p>
            <w:pPr>
              <w:pStyle w:val="48"/>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2115" w:type="dxa"/>
            <w:vAlign w:val="center"/>
          </w:tcPr>
          <w:p>
            <w:pPr>
              <w:pStyle w:val="48"/>
              <w:rPr>
                <w:rFonts w:hint="eastAsia" w:ascii="宋体" w:hAnsi="宋体" w:eastAsia="宋体" w:cs="宋体"/>
                <w:b/>
                <w:bCs/>
                <w:color w:val="auto"/>
                <w:highlight w:val="none"/>
              </w:rPr>
            </w:pPr>
            <w:r>
              <w:rPr>
                <w:rFonts w:hint="eastAsia" w:ascii="宋体" w:hAnsi="宋体" w:eastAsia="宋体" w:cs="宋体"/>
                <w:b/>
                <w:bCs/>
                <w:color w:val="auto"/>
                <w:highlight w:val="none"/>
              </w:rPr>
              <w:t>采购内容</w:t>
            </w:r>
          </w:p>
        </w:tc>
        <w:tc>
          <w:tcPr>
            <w:tcW w:w="2955" w:type="dxa"/>
            <w:vAlign w:val="center"/>
          </w:tcPr>
          <w:p>
            <w:pPr>
              <w:pStyle w:val="48"/>
              <w:rPr>
                <w:rFonts w:hint="eastAsia" w:ascii="宋体" w:hAnsi="宋体" w:eastAsia="宋体" w:cs="宋体"/>
                <w:b/>
                <w:bCs/>
                <w:color w:val="auto"/>
                <w:highlight w:val="none"/>
              </w:rPr>
            </w:pPr>
            <w:r>
              <w:rPr>
                <w:rFonts w:hint="eastAsia" w:ascii="宋体" w:hAnsi="宋体" w:eastAsia="宋体" w:cs="宋体"/>
                <w:b/>
                <w:bCs/>
                <w:color w:val="auto"/>
                <w:highlight w:val="none"/>
              </w:rPr>
              <w:t>投标报价(</w:t>
            </w:r>
            <w:r>
              <w:rPr>
                <w:rFonts w:hint="eastAsia" w:ascii="宋体" w:hAnsi="宋体" w:eastAsia="宋体" w:cs="宋体"/>
                <w:b/>
                <w:bCs/>
                <w:color w:val="auto"/>
                <w:highlight w:val="none"/>
                <w:lang w:eastAsia="zh-CN"/>
              </w:rPr>
              <w:t>下浮率</w:t>
            </w:r>
            <w:r>
              <w:rPr>
                <w:rFonts w:hint="eastAsia" w:ascii="宋体" w:hAnsi="宋体" w:eastAsia="宋体" w:cs="宋体"/>
                <w:b/>
                <w:bCs/>
                <w:color w:val="auto"/>
                <w:highlight w:val="none"/>
              </w:rPr>
              <w:t>)</w:t>
            </w:r>
          </w:p>
        </w:tc>
        <w:tc>
          <w:tcPr>
            <w:tcW w:w="2115" w:type="dxa"/>
            <w:vAlign w:val="center"/>
          </w:tcPr>
          <w:p>
            <w:pPr>
              <w:pStyle w:val="48"/>
              <w:rPr>
                <w:rFonts w:hint="eastAsia" w:ascii="宋体" w:hAnsi="宋体" w:eastAsia="宋体" w:cs="宋体"/>
                <w:b/>
                <w:bCs/>
                <w:color w:val="auto"/>
                <w:highlight w:val="none"/>
              </w:rPr>
            </w:pPr>
            <w:r>
              <w:rPr>
                <w:rFonts w:hint="eastAsia" w:ascii="宋体" w:hAnsi="宋体" w:eastAsia="宋体" w:cs="宋体"/>
                <w:b/>
                <w:bCs/>
                <w:color w:val="auto"/>
                <w:highlight w:val="none"/>
              </w:rPr>
              <w:t>履约时间</w:t>
            </w:r>
          </w:p>
        </w:tc>
        <w:tc>
          <w:tcPr>
            <w:tcW w:w="2015" w:type="dxa"/>
            <w:vAlign w:val="center"/>
          </w:tcPr>
          <w:p>
            <w:pPr>
              <w:pStyle w:val="48"/>
              <w:rPr>
                <w:rFonts w:hint="eastAsia" w:ascii="宋体" w:hAnsi="宋体" w:eastAsia="宋体" w:cs="宋体"/>
                <w:b/>
                <w:bCs/>
                <w:color w:val="auto"/>
                <w:highlight w:val="none"/>
              </w:rPr>
            </w:pPr>
            <w:r>
              <w:rPr>
                <w:rFonts w:hint="eastAsia" w:ascii="宋体" w:hAnsi="宋体" w:eastAsia="宋体"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56" w:type="dxa"/>
          </w:tcPr>
          <w:p>
            <w:pPr>
              <w:pStyle w:val="25"/>
              <w:rPr>
                <w:rFonts w:hint="eastAsia" w:ascii="宋体" w:hAnsi="宋体" w:eastAsia="宋体" w:cs="宋体"/>
                <w:color w:val="auto"/>
                <w:highlight w:val="none"/>
              </w:rPr>
            </w:pPr>
          </w:p>
        </w:tc>
        <w:tc>
          <w:tcPr>
            <w:tcW w:w="2115" w:type="dxa"/>
            <w:vAlign w:val="center"/>
          </w:tcPr>
          <w:p>
            <w:pPr>
              <w:pStyle w:val="25"/>
              <w:rPr>
                <w:rFonts w:hint="eastAsia" w:ascii="宋体" w:hAnsi="宋体" w:eastAsia="宋体" w:cs="宋体"/>
                <w:color w:val="auto"/>
                <w:highlight w:val="none"/>
              </w:rPr>
            </w:pPr>
          </w:p>
        </w:tc>
        <w:tc>
          <w:tcPr>
            <w:tcW w:w="2955" w:type="dxa"/>
            <w:vAlign w:val="center"/>
          </w:tcPr>
          <w:p>
            <w:pPr>
              <w:pStyle w:val="25"/>
              <w:rPr>
                <w:rFonts w:hint="eastAsia" w:ascii="宋体" w:hAnsi="宋体" w:eastAsia="宋体" w:cs="宋体"/>
                <w:color w:val="auto"/>
                <w:highlight w:val="none"/>
              </w:rPr>
            </w:pPr>
          </w:p>
        </w:tc>
        <w:tc>
          <w:tcPr>
            <w:tcW w:w="2115" w:type="dxa"/>
            <w:vAlign w:val="center"/>
          </w:tcPr>
          <w:p>
            <w:pPr>
              <w:pStyle w:val="25"/>
              <w:rPr>
                <w:rFonts w:hint="eastAsia" w:ascii="宋体" w:hAnsi="宋体" w:eastAsia="宋体" w:cs="宋体"/>
                <w:color w:val="auto"/>
                <w:highlight w:val="none"/>
              </w:rPr>
            </w:pPr>
          </w:p>
        </w:tc>
        <w:tc>
          <w:tcPr>
            <w:tcW w:w="2015" w:type="dxa"/>
            <w:vAlign w:val="center"/>
          </w:tcPr>
          <w:p>
            <w:pPr>
              <w:pStyle w:val="25"/>
              <w:jc w:val="center"/>
              <w:rPr>
                <w:rFonts w:hint="eastAsia" w:ascii="宋体" w:hAnsi="宋体" w:eastAsia="宋体" w:cs="宋体"/>
                <w:color w:val="auto"/>
                <w:highlight w:val="none"/>
                <w:lang w:val="en-US" w:eastAsia="zh-CN"/>
              </w:rPr>
            </w:pP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lang w:eastAsia="zh-CN"/>
              </w:rPr>
              <w:t>下浮率</w:t>
            </w:r>
            <w:r>
              <w:rPr>
                <w:rFonts w:hint="eastAsia" w:ascii="宋体" w:hAnsi="宋体" w:eastAsia="宋体" w:cs="宋体"/>
                <w:b w:val="0"/>
                <w:bCs w:val="0"/>
                <w:color w:val="auto"/>
                <w:highlight w:val="none"/>
                <w:lang w:val="en-US" w:eastAsia="zh-CN"/>
              </w:rPr>
              <w:t>)不得高于85%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956" w:type="dxa"/>
            <w:gridSpan w:val="5"/>
            <w:tcBorders>
              <w:bottom w:val="single" w:color="auto" w:sz="4" w:space="0"/>
            </w:tcBorders>
          </w:tcPr>
          <w:p>
            <w:pPr>
              <w:pStyle w:val="25"/>
              <w:rPr>
                <w:rFonts w:hint="eastAsia" w:ascii="宋体" w:hAnsi="宋体" w:eastAsia="宋体" w:cs="宋体"/>
                <w:color w:val="auto"/>
                <w:highlight w:val="none"/>
              </w:rPr>
            </w:pPr>
            <w:r>
              <w:rPr>
                <w:rStyle w:val="62"/>
                <w:rFonts w:hint="eastAsia" w:ascii="宋体" w:hAnsi="宋体" w:eastAsia="宋体" w:cs="宋体"/>
                <w:color w:val="auto"/>
                <w:highlight w:val="none"/>
                <w:lang w:eastAsia="zh-CN"/>
              </w:rPr>
              <w:t>下浮率</w:t>
            </w:r>
            <w:r>
              <w:rPr>
                <w:rStyle w:val="62"/>
                <w:rFonts w:hint="eastAsia" w:ascii="宋体" w:hAnsi="宋体" w:eastAsia="宋体" w:cs="宋体"/>
                <w:color w:val="auto"/>
                <w:highlight w:val="none"/>
              </w:rPr>
              <w:t>大写：百分之</w:t>
            </w:r>
            <w:r>
              <w:rPr>
                <w:rStyle w:val="62"/>
                <w:rFonts w:hint="eastAsia" w:ascii="宋体" w:hAnsi="宋体" w:eastAsia="宋体" w:cs="宋体"/>
                <w:color w:val="auto"/>
                <w:highlight w:val="none"/>
                <w:u w:val="single"/>
              </w:rPr>
              <w:t xml:space="preserve">          </w:t>
            </w:r>
            <w:r>
              <w:rPr>
                <w:rStyle w:val="62"/>
                <w:rFonts w:hint="eastAsia" w:ascii="宋体" w:hAnsi="宋体" w:eastAsia="宋体" w:cs="宋体"/>
                <w:color w:val="auto"/>
                <w:highlight w:val="none"/>
              </w:rPr>
              <w:t xml:space="preserve">   </w:t>
            </w:r>
            <w:r>
              <w:rPr>
                <w:rFonts w:hint="eastAsia" w:ascii="宋体" w:hAnsi="宋体" w:eastAsia="宋体" w:cs="宋体"/>
                <w:color w:val="auto"/>
                <w:highlight w:val="none"/>
              </w:rPr>
              <w:t xml:space="preserve">                   </w:t>
            </w:r>
          </w:p>
        </w:tc>
      </w:tr>
    </w:tbl>
    <w:p>
      <w:pPr>
        <w:pStyle w:val="29"/>
        <w:adjustRightInd/>
        <w:rPr>
          <w:rFonts w:hint="eastAsia" w:ascii="宋体" w:hAnsi="宋体" w:eastAsia="宋体" w:cs="宋体"/>
          <w:b/>
          <w:bCs w:val="0"/>
          <w:color w:val="auto"/>
          <w:sz w:val="24"/>
          <w:szCs w:val="24"/>
          <w:highlight w:val="none"/>
          <w:lang w:val="en-US" w:eastAsia="zh-CN"/>
        </w:rPr>
      </w:pPr>
      <w:r>
        <w:rPr>
          <w:rFonts w:hint="eastAsia" w:ascii="宋体" w:hAnsi="宋体" w:eastAsia="宋体" w:cs="宋体"/>
          <w:color w:val="auto"/>
          <w:highlight w:val="none"/>
          <w:lang w:eastAsia="zh-CN"/>
        </w:rPr>
        <w:t>注：</w:t>
      </w:r>
      <w:r>
        <w:rPr>
          <w:rFonts w:hint="eastAsia" w:ascii="宋体" w:hAnsi="宋体" w:eastAsia="宋体" w:cs="宋体"/>
          <w:b/>
          <w:bCs w:val="0"/>
          <w:color w:val="auto"/>
          <w:highlight w:val="none"/>
          <w:lang w:val="en-US" w:eastAsia="zh-CN"/>
        </w:rPr>
        <w:t>①</w:t>
      </w:r>
      <w:r>
        <w:rPr>
          <w:rFonts w:hint="eastAsia" w:ascii="宋体" w:hAnsi="宋体" w:eastAsia="宋体" w:cs="宋体"/>
          <w:b/>
          <w:bCs w:val="0"/>
          <w:color w:val="auto"/>
          <w:sz w:val="24"/>
          <w:szCs w:val="24"/>
          <w:highlight w:val="none"/>
        </w:rPr>
        <w:t>实洋</w:t>
      </w:r>
      <w:r>
        <w:rPr>
          <w:rFonts w:hint="eastAsia" w:ascii="宋体" w:hAnsi="宋体" w:eastAsia="宋体" w:cs="宋体"/>
          <w:b/>
          <w:bCs w:val="0"/>
          <w:color w:val="auto"/>
          <w:sz w:val="24"/>
          <w:szCs w:val="24"/>
          <w:highlight w:val="none"/>
          <w:lang w:val="en-US" w:eastAsia="zh-CN"/>
        </w:rPr>
        <w:t>=码洋金额×(1-下浮率)。</w:t>
      </w:r>
    </w:p>
    <w:p>
      <w:pPr>
        <w:pStyle w:val="29"/>
        <w:adjustRightInd/>
        <w:rPr>
          <w:rFonts w:hint="eastAsia" w:ascii="宋体" w:hAnsi="宋体" w:eastAsia="宋体" w:cs="宋体"/>
          <w:b/>
          <w:bCs w:val="0"/>
          <w:color w:val="auto"/>
          <w:highlight w:val="none"/>
        </w:rPr>
      </w:pPr>
      <w:r>
        <w:rPr>
          <w:rFonts w:hint="eastAsia" w:ascii="宋体" w:hAnsi="宋体" w:eastAsia="宋体" w:cs="宋体"/>
          <w:b/>
          <w:bCs w:val="0"/>
          <w:color w:val="auto"/>
          <w:highlight w:val="none"/>
          <w:lang w:val="en-US" w:eastAsia="zh-CN"/>
        </w:rPr>
        <w:t>②</w:t>
      </w:r>
      <w:r>
        <w:rPr>
          <w:rFonts w:hint="eastAsia" w:ascii="宋体" w:hAnsi="宋体" w:eastAsia="宋体" w:cs="宋体"/>
          <w:b/>
          <w:bCs w:val="0"/>
          <w:color w:val="auto"/>
          <w:sz w:val="24"/>
          <w:szCs w:val="24"/>
          <w:highlight w:val="none"/>
        </w:rPr>
        <w:t>实洋包含但不限于图书生产、加工</w:t>
      </w:r>
      <w:r>
        <w:rPr>
          <w:rFonts w:hint="eastAsia" w:cs="宋体"/>
          <w:b/>
          <w:bCs w:val="0"/>
          <w:color w:val="auto"/>
          <w:sz w:val="24"/>
          <w:szCs w:val="24"/>
          <w:highlight w:val="none"/>
          <w:lang w:eastAsia="zh-CN"/>
        </w:rPr>
        <w:t>、</w:t>
      </w:r>
      <w:r>
        <w:rPr>
          <w:rFonts w:hint="eastAsia" w:cs="宋体"/>
          <w:b/>
          <w:bCs w:val="0"/>
          <w:color w:val="auto"/>
          <w:sz w:val="24"/>
          <w:szCs w:val="24"/>
          <w:highlight w:val="none"/>
          <w:lang w:val="en-US" w:eastAsia="zh-CN"/>
        </w:rPr>
        <w:t>利润</w:t>
      </w:r>
      <w:r>
        <w:rPr>
          <w:rFonts w:hint="eastAsia" w:ascii="宋体" w:hAnsi="宋体" w:eastAsia="宋体" w:cs="宋体"/>
          <w:b/>
          <w:bCs w:val="0"/>
          <w:color w:val="auto"/>
          <w:sz w:val="24"/>
          <w:szCs w:val="24"/>
          <w:highlight w:val="none"/>
        </w:rPr>
        <w:t>、运输(含二次搬运)、仓储分拣、上架编码、</w:t>
      </w:r>
      <w:r>
        <w:rPr>
          <w:rFonts w:hint="eastAsia" w:ascii="宋体" w:hAnsi="宋体" w:eastAsia="宋体" w:cs="宋体"/>
          <w:b/>
          <w:bCs w:val="0"/>
          <w:color w:val="auto"/>
          <w:sz w:val="24"/>
          <w:szCs w:val="24"/>
          <w:highlight w:val="none"/>
          <w:lang w:val="en-US" w:eastAsia="zh-CN"/>
        </w:rPr>
        <w:t>加工、</w:t>
      </w:r>
      <w:r>
        <w:rPr>
          <w:rFonts w:hint="eastAsia" w:ascii="宋体" w:hAnsi="宋体" w:eastAsia="宋体" w:cs="宋体"/>
          <w:b/>
          <w:bCs w:val="0"/>
          <w:color w:val="auto"/>
          <w:sz w:val="24"/>
          <w:szCs w:val="24"/>
          <w:highlight w:val="none"/>
        </w:rPr>
        <w:t>售后服务、风险、税金等</w:t>
      </w:r>
      <w:r>
        <w:rPr>
          <w:rFonts w:hint="eastAsia" w:ascii="宋体" w:hAnsi="宋体" w:eastAsia="宋体" w:cs="宋体"/>
          <w:b/>
          <w:bCs w:val="0"/>
          <w:color w:val="auto"/>
          <w:sz w:val="24"/>
          <w:szCs w:val="24"/>
          <w:highlight w:val="none"/>
          <w:lang w:val="en-US" w:eastAsia="zh-CN"/>
        </w:rPr>
        <w:t>完成本项目所需的一起费用</w:t>
      </w:r>
      <w:r>
        <w:rPr>
          <w:rFonts w:hint="eastAsia" w:ascii="宋体" w:hAnsi="宋体" w:eastAsia="宋体" w:cs="宋体"/>
          <w:b/>
          <w:bCs w:val="0"/>
          <w:color w:val="auto"/>
          <w:highlight w:val="none"/>
        </w:rPr>
        <w:t xml:space="preserve">。 </w:t>
      </w:r>
    </w:p>
    <w:p>
      <w:pPr>
        <w:pStyle w:val="29"/>
        <w:adjustRightInd/>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rPr>
        <w:t>③“开标一览表”为多页的，每页均需由</w:t>
      </w:r>
      <w:r>
        <w:rPr>
          <w:rFonts w:hint="eastAsia" w:ascii="宋体" w:hAnsi="宋体" w:eastAsia="宋体" w:cs="宋体"/>
          <w:b/>
          <w:bCs w:val="0"/>
          <w:color w:val="auto"/>
          <w:highlight w:val="none"/>
          <w:lang w:eastAsia="zh-CN"/>
        </w:rPr>
        <w:t>法定代表人/单位负责人或授权代表</w:t>
      </w:r>
      <w:r>
        <w:rPr>
          <w:rFonts w:hint="eastAsia" w:ascii="宋体" w:hAnsi="宋体" w:eastAsia="宋体" w:cs="宋体"/>
          <w:b/>
          <w:bCs w:val="0"/>
          <w:color w:val="auto"/>
          <w:highlight w:val="none"/>
        </w:rPr>
        <w:t>签字并盖投标人印章</w:t>
      </w:r>
      <w:r>
        <w:rPr>
          <w:rFonts w:hint="eastAsia" w:ascii="宋体" w:hAnsi="宋体" w:eastAsia="宋体" w:cs="宋体"/>
          <w:b/>
          <w:bCs w:val="0"/>
          <w:color w:val="auto"/>
          <w:highlight w:val="none"/>
          <w:lang w:eastAsia="zh-CN"/>
        </w:rPr>
        <w:t>，</w:t>
      </w:r>
      <w:r>
        <w:rPr>
          <w:rFonts w:hint="eastAsia" w:ascii="宋体" w:hAnsi="宋体" w:eastAsia="宋体" w:cs="宋体"/>
          <w:b/>
          <w:bCs w:val="0"/>
          <w:color w:val="auto"/>
          <w:highlight w:val="none"/>
          <w:lang w:val="en-US" w:eastAsia="zh-CN"/>
        </w:rPr>
        <w:t>否则作无效投标处理</w:t>
      </w:r>
      <w:r>
        <w:rPr>
          <w:rFonts w:hint="eastAsia" w:ascii="宋体" w:hAnsi="宋体" w:eastAsia="宋体" w:cs="宋体"/>
          <w:b/>
          <w:bCs w:val="0"/>
          <w:color w:val="auto"/>
          <w:highlight w:val="none"/>
        </w:rPr>
        <w:t>。</w:t>
      </w:r>
    </w:p>
    <w:p>
      <w:pPr>
        <w:pStyle w:val="29"/>
        <w:adjustRightInd/>
        <w:rPr>
          <w:rFonts w:hint="eastAsia" w:ascii="宋体" w:hAnsi="宋体" w:eastAsia="宋体" w:cs="宋体"/>
          <w:b/>
          <w:bCs w:val="0"/>
          <w:color w:val="auto"/>
          <w:highlight w:val="none"/>
        </w:rPr>
      </w:pPr>
      <w:r>
        <w:rPr>
          <w:rFonts w:hint="eastAsia" w:ascii="宋体" w:hAnsi="宋体" w:eastAsia="宋体" w:cs="宋体"/>
          <w:b/>
          <w:bCs w:val="0"/>
          <w:color w:val="auto"/>
          <w:highlight w:val="none"/>
          <w:lang w:val="en-US" w:eastAsia="zh-CN"/>
        </w:rPr>
        <w:t>④</w:t>
      </w:r>
      <w:r>
        <w:rPr>
          <w:rFonts w:hint="eastAsia" w:ascii="宋体" w:hAnsi="宋体" w:eastAsia="宋体" w:cs="宋体"/>
          <w:b/>
          <w:bCs w:val="0"/>
          <w:color w:val="auto"/>
          <w:highlight w:val="none"/>
        </w:rPr>
        <w:t>“开标一览表”除了单独密封递交外，</w:t>
      </w:r>
      <w:r>
        <w:rPr>
          <w:rFonts w:hint="eastAsia" w:ascii="宋体" w:hAnsi="宋体" w:eastAsia="宋体" w:cs="宋体"/>
          <w:b/>
          <w:bCs w:val="0"/>
          <w:color w:val="auto"/>
          <w:highlight w:val="none"/>
          <w:lang w:val="en-US" w:eastAsia="zh-CN"/>
        </w:rPr>
        <w:t>其他</w:t>
      </w:r>
      <w:r>
        <w:rPr>
          <w:rFonts w:hint="eastAsia" w:ascii="宋体" w:hAnsi="宋体" w:eastAsia="宋体" w:cs="宋体"/>
          <w:b/>
          <w:bCs w:val="0"/>
          <w:color w:val="auto"/>
          <w:highlight w:val="none"/>
        </w:rPr>
        <w:t>投标文件(正副本)</w:t>
      </w:r>
      <w:r>
        <w:rPr>
          <w:rFonts w:hint="eastAsia" w:ascii="宋体" w:hAnsi="宋体" w:eastAsia="宋体" w:cs="宋体"/>
          <w:b/>
          <w:bCs w:val="0"/>
          <w:color w:val="auto"/>
          <w:highlight w:val="none"/>
          <w:lang w:val="en-US" w:eastAsia="zh-CN"/>
        </w:rPr>
        <w:t>中</w:t>
      </w:r>
      <w:r>
        <w:rPr>
          <w:rFonts w:hint="eastAsia" w:ascii="宋体" w:hAnsi="宋体" w:eastAsia="宋体" w:cs="宋体"/>
          <w:b/>
          <w:bCs w:val="0"/>
          <w:color w:val="auto"/>
          <w:highlight w:val="none"/>
        </w:rPr>
        <w:t>也应当提供，如有遗漏，将视为无效投标。</w:t>
      </w:r>
    </w:p>
    <w:p>
      <w:pPr>
        <w:pStyle w:val="25"/>
        <w:bidi w:val="0"/>
        <w:rPr>
          <w:rFonts w:hint="eastAsia" w:ascii="宋体" w:hAnsi="宋体" w:eastAsia="宋体" w:cs="宋体"/>
          <w:color w:val="auto"/>
          <w:highlight w:val="none"/>
          <w:lang w:eastAsia="zh-CN"/>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highlight w:val="none"/>
        </w:rPr>
        <w:t>(盖章)</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投标日期：</w:t>
      </w:r>
      <w:bookmarkStart w:id="889" w:name="_Toc7728"/>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highlight w:val="none"/>
          <w:lang w:val="en-US" w:eastAsia="zh-CN"/>
        </w:rPr>
        <w:br w:type="page"/>
      </w:r>
    </w:p>
    <w:bookmarkEnd w:id="889"/>
    <w:p>
      <w:pPr>
        <w:pStyle w:val="47"/>
        <w:numPr>
          <w:ilvl w:val="0"/>
          <w:numId w:val="21"/>
        </w:numPr>
        <w:bidi w:val="0"/>
        <w:ind w:left="0" w:leftChars="0" w:firstLine="0" w:firstLineChars="0"/>
        <w:rPr>
          <w:rFonts w:hint="eastAsia" w:ascii="宋体" w:hAnsi="宋体" w:eastAsia="宋体" w:cs="宋体"/>
          <w:color w:val="auto"/>
          <w:highlight w:val="none"/>
          <w:lang w:val="en-US" w:eastAsia="zh-CN"/>
        </w:rPr>
      </w:pPr>
      <w:bookmarkStart w:id="890" w:name="_Toc319440166"/>
      <w:bookmarkStart w:id="891" w:name="_Toc18823"/>
      <w:bookmarkStart w:id="892" w:name="_Toc21006"/>
      <w:bookmarkStart w:id="893" w:name="_Toc217446087"/>
      <w:bookmarkStart w:id="894" w:name="_Toc307564875"/>
      <w:bookmarkStart w:id="895" w:name="_Toc7835"/>
      <w:bookmarkStart w:id="896" w:name="_Toc25577"/>
      <w:bookmarkStart w:id="897" w:name="_Toc11461"/>
      <w:bookmarkStart w:id="898" w:name="_Toc307501130"/>
      <w:bookmarkStart w:id="899" w:name="_Toc327196310"/>
      <w:bookmarkStart w:id="900" w:name="_Toc26124"/>
      <w:bookmarkStart w:id="901" w:name="_Toc327196312"/>
      <w:bookmarkStart w:id="902" w:name="_Toc319440168"/>
      <w:bookmarkStart w:id="903" w:name="_Toc24507"/>
      <w:r>
        <w:rPr>
          <w:rFonts w:hint="eastAsia" w:ascii="宋体" w:hAnsi="宋体" w:eastAsia="宋体" w:cs="宋体"/>
          <w:color w:val="auto"/>
          <w:highlight w:val="none"/>
          <w:lang w:val="en-US" w:eastAsia="zh-CN"/>
        </w:rPr>
        <w:t>商务应答表</w:t>
      </w:r>
      <w:bookmarkEnd w:id="890"/>
      <w:bookmarkEnd w:id="891"/>
      <w:bookmarkEnd w:id="892"/>
      <w:bookmarkEnd w:id="893"/>
      <w:bookmarkEnd w:id="894"/>
      <w:bookmarkEnd w:id="895"/>
      <w:bookmarkEnd w:id="896"/>
      <w:bookmarkEnd w:id="897"/>
      <w:bookmarkEnd w:id="898"/>
      <w:bookmarkEnd w:id="899"/>
    </w:p>
    <w:p>
      <w:pPr>
        <w:pStyle w:val="25"/>
        <w:bidi w:val="0"/>
        <w:rPr>
          <w:rFonts w:hint="eastAsia" w:ascii="宋体" w:hAnsi="宋体" w:eastAsia="宋体" w:cs="宋体"/>
          <w:color w:val="auto"/>
          <w:highlight w:val="none"/>
          <w:u w:val="singl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 xml:space="preserve"> </w:t>
      </w:r>
    </w:p>
    <w:p>
      <w:pPr>
        <w:pStyle w:val="25"/>
        <w:bidi w:val="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tbl>
      <w:tblPr>
        <w:tblStyle w:val="19"/>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4061" w:type="dxa"/>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rPr>
              <w:t>招标</w:t>
            </w:r>
            <w:r>
              <w:rPr>
                <w:rFonts w:hint="eastAsia" w:ascii="宋体" w:hAnsi="宋体" w:eastAsia="宋体" w:cs="宋体"/>
                <w:b/>
                <w:bCs/>
                <w:color w:val="auto"/>
                <w:highlight w:val="none"/>
                <w:lang w:val="en-US" w:eastAsia="zh-CN"/>
              </w:rPr>
              <w:t>文件商务</w:t>
            </w:r>
            <w:r>
              <w:rPr>
                <w:rFonts w:hint="eastAsia" w:ascii="宋体" w:hAnsi="宋体" w:eastAsia="宋体" w:cs="宋体"/>
                <w:b/>
                <w:bCs/>
                <w:color w:val="auto"/>
                <w:highlight w:val="none"/>
              </w:rPr>
              <w:t>要求</w:t>
            </w:r>
          </w:p>
        </w:tc>
        <w:tc>
          <w:tcPr>
            <w:tcW w:w="3900" w:type="dxa"/>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rPr>
              <w:t>投标应答</w:t>
            </w:r>
          </w:p>
        </w:tc>
        <w:tc>
          <w:tcPr>
            <w:tcW w:w="1223" w:type="dxa"/>
            <w:vAlign w:val="center"/>
          </w:tcPr>
          <w:p>
            <w:pPr>
              <w:pStyle w:val="48"/>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8"/>
              <w:bidi w:val="0"/>
              <w:rPr>
                <w:rFonts w:hint="eastAsia" w:ascii="宋体" w:hAnsi="宋体" w:eastAsia="宋体" w:cs="宋体"/>
                <w:b/>
                <w:bCs/>
                <w:color w:val="auto"/>
                <w:highlight w:val="none"/>
              </w:rPr>
            </w:pPr>
          </w:p>
        </w:tc>
        <w:tc>
          <w:tcPr>
            <w:tcW w:w="4061" w:type="dxa"/>
            <w:vAlign w:val="top"/>
          </w:tcPr>
          <w:p>
            <w:pPr>
              <w:pStyle w:val="48"/>
              <w:bidi w:val="0"/>
              <w:rPr>
                <w:rFonts w:hint="eastAsia" w:ascii="宋体" w:hAnsi="宋体" w:eastAsia="宋体" w:cs="宋体"/>
                <w:b/>
                <w:bCs/>
                <w:color w:val="auto"/>
                <w:highlight w:val="none"/>
              </w:rPr>
            </w:pPr>
          </w:p>
        </w:tc>
        <w:tc>
          <w:tcPr>
            <w:tcW w:w="3900" w:type="dxa"/>
            <w:vAlign w:val="top"/>
          </w:tcPr>
          <w:p>
            <w:pPr>
              <w:pStyle w:val="48"/>
              <w:bidi w:val="0"/>
              <w:rPr>
                <w:rFonts w:hint="eastAsia" w:ascii="宋体" w:hAnsi="宋体" w:eastAsia="宋体" w:cs="宋体"/>
                <w:b/>
                <w:bCs/>
                <w:color w:val="auto"/>
                <w:highlight w:val="none"/>
              </w:rPr>
            </w:pPr>
          </w:p>
        </w:tc>
        <w:tc>
          <w:tcPr>
            <w:tcW w:w="1223" w:type="dxa"/>
            <w:vAlign w:val="top"/>
          </w:tcPr>
          <w:p>
            <w:pPr>
              <w:pStyle w:val="48"/>
              <w:bidi w:val="0"/>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8"/>
              <w:bidi w:val="0"/>
              <w:rPr>
                <w:rFonts w:hint="eastAsia" w:ascii="宋体" w:hAnsi="宋体" w:eastAsia="宋体" w:cs="宋体"/>
                <w:b/>
                <w:bCs/>
                <w:color w:val="auto"/>
                <w:highlight w:val="none"/>
              </w:rPr>
            </w:pPr>
          </w:p>
        </w:tc>
        <w:tc>
          <w:tcPr>
            <w:tcW w:w="4061" w:type="dxa"/>
            <w:vAlign w:val="top"/>
          </w:tcPr>
          <w:p>
            <w:pPr>
              <w:pStyle w:val="48"/>
              <w:bidi w:val="0"/>
              <w:rPr>
                <w:rFonts w:hint="eastAsia" w:ascii="宋体" w:hAnsi="宋体" w:eastAsia="宋体" w:cs="宋体"/>
                <w:b/>
                <w:bCs/>
                <w:color w:val="auto"/>
                <w:highlight w:val="none"/>
              </w:rPr>
            </w:pPr>
          </w:p>
        </w:tc>
        <w:tc>
          <w:tcPr>
            <w:tcW w:w="3900" w:type="dxa"/>
            <w:vAlign w:val="top"/>
          </w:tcPr>
          <w:p>
            <w:pPr>
              <w:pStyle w:val="48"/>
              <w:bidi w:val="0"/>
              <w:rPr>
                <w:rFonts w:hint="eastAsia" w:ascii="宋体" w:hAnsi="宋体" w:eastAsia="宋体" w:cs="宋体"/>
                <w:b/>
                <w:bCs/>
                <w:color w:val="auto"/>
                <w:highlight w:val="none"/>
              </w:rPr>
            </w:pPr>
          </w:p>
        </w:tc>
        <w:tc>
          <w:tcPr>
            <w:tcW w:w="1223" w:type="dxa"/>
            <w:vAlign w:val="top"/>
          </w:tcPr>
          <w:p>
            <w:pPr>
              <w:pStyle w:val="48"/>
              <w:bidi w:val="0"/>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8"/>
              <w:bidi w:val="0"/>
              <w:rPr>
                <w:rFonts w:hint="eastAsia" w:ascii="宋体" w:hAnsi="宋体" w:eastAsia="宋体" w:cs="宋体"/>
                <w:b/>
                <w:bCs/>
                <w:color w:val="auto"/>
                <w:highlight w:val="none"/>
              </w:rPr>
            </w:pPr>
          </w:p>
        </w:tc>
        <w:tc>
          <w:tcPr>
            <w:tcW w:w="4061" w:type="dxa"/>
            <w:vAlign w:val="top"/>
          </w:tcPr>
          <w:p>
            <w:pPr>
              <w:pStyle w:val="48"/>
              <w:bidi w:val="0"/>
              <w:rPr>
                <w:rFonts w:hint="eastAsia" w:ascii="宋体" w:hAnsi="宋体" w:eastAsia="宋体" w:cs="宋体"/>
                <w:b/>
                <w:bCs/>
                <w:color w:val="auto"/>
                <w:highlight w:val="none"/>
              </w:rPr>
            </w:pPr>
          </w:p>
        </w:tc>
        <w:tc>
          <w:tcPr>
            <w:tcW w:w="3900" w:type="dxa"/>
            <w:vAlign w:val="top"/>
          </w:tcPr>
          <w:p>
            <w:pPr>
              <w:pStyle w:val="48"/>
              <w:bidi w:val="0"/>
              <w:rPr>
                <w:rFonts w:hint="eastAsia" w:ascii="宋体" w:hAnsi="宋体" w:eastAsia="宋体" w:cs="宋体"/>
                <w:b/>
                <w:bCs/>
                <w:color w:val="auto"/>
                <w:highlight w:val="none"/>
              </w:rPr>
            </w:pPr>
          </w:p>
        </w:tc>
        <w:tc>
          <w:tcPr>
            <w:tcW w:w="1223" w:type="dxa"/>
            <w:vAlign w:val="top"/>
          </w:tcPr>
          <w:p>
            <w:pPr>
              <w:pStyle w:val="48"/>
              <w:bidi w:val="0"/>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8"/>
              <w:bidi w:val="0"/>
              <w:rPr>
                <w:rFonts w:hint="eastAsia" w:ascii="宋体" w:hAnsi="宋体" w:eastAsia="宋体" w:cs="宋体"/>
                <w:b/>
                <w:bCs/>
                <w:color w:val="auto"/>
                <w:highlight w:val="none"/>
              </w:rPr>
            </w:pPr>
          </w:p>
        </w:tc>
        <w:tc>
          <w:tcPr>
            <w:tcW w:w="4061" w:type="dxa"/>
            <w:vAlign w:val="top"/>
          </w:tcPr>
          <w:p>
            <w:pPr>
              <w:pStyle w:val="48"/>
              <w:bidi w:val="0"/>
              <w:rPr>
                <w:rFonts w:hint="eastAsia" w:ascii="宋体" w:hAnsi="宋体" w:eastAsia="宋体" w:cs="宋体"/>
                <w:b/>
                <w:bCs/>
                <w:color w:val="auto"/>
                <w:highlight w:val="none"/>
              </w:rPr>
            </w:pPr>
          </w:p>
        </w:tc>
        <w:tc>
          <w:tcPr>
            <w:tcW w:w="3900" w:type="dxa"/>
            <w:vAlign w:val="top"/>
          </w:tcPr>
          <w:p>
            <w:pPr>
              <w:pStyle w:val="48"/>
              <w:bidi w:val="0"/>
              <w:rPr>
                <w:rFonts w:hint="eastAsia" w:ascii="宋体" w:hAnsi="宋体" w:eastAsia="宋体" w:cs="宋体"/>
                <w:b/>
                <w:bCs/>
                <w:color w:val="auto"/>
                <w:highlight w:val="none"/>
              </w:rPr>
            </w:pPr>
          </w:p>
        </w:tc>
        <w:tc>
          <w:tcPr>
            <w:tcW w:w="1223" w:type="dxa"/>
            <w:vAlign w:val="top"/>
          </w:tcPr>
          <w:p>
            <w:pPr>
              <w:pStyle w:val="48"/>
              <w:bidi w:val="0"/>
              <w:rPr>
                <w:rFonts w:hint="eastAsia" w:ascii="宋体" w:hAnsi="宋体" w:eastAsia="宋体" w:cs="宋体"/>
                <w:b/>
                <w:bCs/>
                <w:color w:val="auto"/>
                <w:highlight w:val="none"/>
              </w:rPr>
            </w:pPr>
          </w:p>
        </w:tc>
      </w:tr>
    </w:tbl>
    <w:p>
      <w:pPr>
        <w:pStyle w:val="49"/>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注：如与</w:t>
      </w:r>
      <w:r>
        <w:rPr>
          <w:rFonts w:hint="eastAsia" w:ascii="宋体" w:hAnsi="宋体" w:eastAsia="宋体" w:cs="宋体"/>
          <w:color w:val="auto"/>
          <w:highlight w:val="none"/>
          <w:lang w:val="en-US" w:eastAsia="zh-CN"/>
        </w:rPr>
        <w:t>招标文件的商务要求</w:t>
      </w:r>
      <w:r>
        <w:rPr>
          <w:rFonts w:hint="eastAsia" w:ascii="宋体" w:hAnsi="宋体" w:eastAsia="宋体" w:cs="宋体"/>
          <w:color w:val="auto"/>
          <w:highlight w:val="none"/>
          <w:lang w:eastAsia="zh-CN"/>
        </w:rPr>
        <w:t>有偏离(包括正偏离和负偏离)，请将偏离条款逐条应答。如与</w:t>
      </w:r>
      <w:r>
        <w:rPr>
          <w:rFonts w:hint="eastAsia" w:ascii="宋体" w:hAnsi="宋体" w:eastAsia="宋体" w:cs="宋体"/>
          <w:color w:val="auto"/>
          <w:highlight w:val="none"/>
          <w:lang w:val="en-US" w:eastAsia="zh-CN"/>
        </w:rPr>
        <w:t>招标文件商务要求的所有</w:t>
      </w:r>
      <w:r>
        <w:rPr>
          <w:rFonts w:hint="eastAsia" w:ascii="宋体" w:hAnsi="宋体" w:eastAsia="宋体" w:cs="宋体"/>
          <w:color w:val="auto"/>
          <w:highlight w:val="none"/>
          <w:lang w:eastAsia="zh-CN"/>
        </w:rPr>
        <w:t>条款无偏离，则无须在此表中应答，视为默认完全响应和接受</w:t>
      </w:r>
      <w:r>
        <w:rPr>
          <w:rFonts w:hint="eastAsia" w:ascii="宋体" w:hAnsi="宋体" w:eastAsia="宋体" w:cs="宋体"/>
          <w:color w:val="auto"/>
          <w:highlight w:val="none"/>
          <w:lang w:val="en-US" w:eastAsia="zh-CN"/>
        </w:rPr>
        <w:t>招标文件所有商务要求</w:t>
      </w:r>
      <w:r>
        <w:rPr>
          <w:rFonts w:hint="eastAsia" w:ascii="宋体" w:hAnsi="宋体" w:eastAsia="宋体" w:cs="宋体"/>
          <w:color w:val="auto"/>
          <w:highlight w:val="none"/>
          <w:lang w:eastAsia="zh-CN"/>
        </w:rPr>
        <w:t>，供应商不得以未作应答而拒不接受。供应商必须据实填写，不得虚假应答，否则将取消其</w:t>
      </w: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lang w:eastAsia="zh-CN"/>
        </w:rPr>
        <w:t>资格。</w:t>
      </w:r>
    </w:p>
    <w:p>
      <w:pPr>
        <w:pStyle w:val="25"/>
        <w:bidi w:val="0"/>
        <w:rPr>
          <w:rFonts w:hint="eastAsia" w:ascii="宋体" w:hAnsi="宋体" w:eastAsia="宋体" w:cs="宋体"/>
          <w:color w:val="auto"/>
          <w:highlight w:val="none"/>
          <w:lang w:eastAsia="zh-CN"/>
        </w:rPr>
      </w:pPr>
    </w:p>
    <w:p>
      <w:pPr>
        <w:pStyle w:val="25"/>
        <w:bidi w:val="0"/>
        <w:rPr>
          <w:rFonts w:hint="eastAsia" w:ascii="宋体" w:hAnsi="宋体" w:eastAsia="宋体" w:cs="宋体"/>
          <w:color w:val="auto"/>
          <w:highlight w:val="none"/>
          <w:lang w:eastAsia="zh-CN"/>
        </w:rPr>
      </w:pP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highlight w:val="none"/>
        </w:rPr>
        <w:t>(盖章)</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投标日期</w:t>
      </w:r>
      <w:r>
        <w:rPr>
          <w:rFonts w:hint="eastAsia" w:ascii="宋体" w:hAnsi="宋体" w:eastAsia="宋体" w:cs="宋体"/>
          <w:color w:val="auto"/>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pPr>
        <w:pStyle w:val="25"/>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bookmarkEnd w:id="900"/>
    <w:bookmarkEnd w:id="901"/>
    <w:bookmarkEnd w:id="902"/>
    <w:p>
      <w:pPr>
        <w:pStyle w:val="47"/>
        <w:numPr>
          <w:ilvl w:val="0"/>
          <w:numId w:val="21"/>
        </w:numPr>
        <w:bidi w:val="0"/>
        <w:ind w:left="0" w:leftChars="0" w:firstLine="0" w:firstLineChars="0"/>
        <w:rPr>
          <w:rFonts w:hint="eastAsia" w:ascii="宋体" w:hAnsi="宋体" w:eastAsia="宋体" w:cs="宋体"/>
          <w:color w:val="auto"/>
          <w:highlight w:val="none"/>
          <w:lang w:val="en-US" w:eastAsia="zh-CN"/>
        </w:rPr>
      </w:pPr>
      <w:bookmarkStart w:id="904" w:name="_Toc23376"/>
      <w:bookmarkStart w:id="905" w:name="_Toc3995"/>
      <w:bookmarkStart w:id="906" w:name="_Toc28506"/>
      <w:bookmarkStart w:id="907" w:name="_Toc25122"/>
      <w:bookmarkStart w:id="908" w:name="_Toc26522"/>
      <w:bookmarkStart w:id="909" w:name="_Toc23430"/>
      <w:r>
        <w:rPr>
          <w:rFonts w:hint="eastAsia" w:ascii="宋体" w:hAnsi="宋体" w:eastAsia="宋体" w:cs="宋体"/>
          <w:color w:val="auto"/>
          <w:highlight w:val="none"/>
          <w:lang w:val="en-US" w:eastAsia="zh-CN"/>
        </w:rPr>
        <w:t>技术、服务响应表</w:t>
      </w:r>
      <w:bookmarkEnd w:id="904"/>
      <w:bookmarkEnd w:id="905"/>
      <w:bookmarkEnd w:id="906"/>
      <w:bookmarkEnd w:id="907"/>
    </w:p>
    <w:p>
      <w:pPr>
        <w:pStyle w:val="25"/>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项目名称：</w:t>
      </w: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highlight w:val="none"/>
        </w:rPr>
        <w:t xml:space="preserve">      </w:t>
      </w:r>
    </w:p>
    <w:p>
      <w:pPr>
        <w:pStyle w:val="25"/>
        <w:bidi w:val="0"/>
        <w:rPr>
          <w:rFonts w:hint="eastAsia" w:ascii="宋体" w:hAnsi="宋体" w:eastAsia="宋体" w:cs="宋体"/>
          <w:b w:val="0"/>
          <w:bCs w:val="0"/>
          <w:color w:val="auto"/>
          <w:highlight w:val="none"/>
          <w:u w:val="single"/>
        </w:rPr>
      </w:pPr>
      <w:r>
        <w:rPr>
          <w:rFonts w:hint="eastAsia" w:ascii="宋体" w:hAnsi="宋体" w:eastAsia="宋体" w:cs="宋体"/>
          <w:b w:val="0"/>
          <w:bCs w:val="0"/>
          <w:color w:val="auto"/>
          <w:highlight w:val="none"/>
        </w:rPr>
        <w:t>项目编号：</w:t>
      </w:r>
      <w:r>
        <w:rPr>
          <w:rFonts w:hint="eastAsia" w:ascii="宋体" w:hAnsi="宋体" w:eastAsia="宋体" w:cs="宋体"/>
          <w:b w:val="0"/>
          <w:bCs w:val="0"/>
          <w:color w:val="auto"/>
          <w:highlight w:val="none"/>
          <w:u w:val="single"/>
        </w:rPr>
        <w:t xml:space="preserve">                        </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3474"/>
        <w:gridCol w:w="3556"/>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 w:type="pct"/>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743" w:type="pct"/>
            <w:vAlign w:val="center"/>
          </w:tcPr>
          <w:p>
            <w:pPr>
              <w:pStyle w:val="48"/>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招标文件</w:t>
            </w:r>
            <w:r>
              <w:rPr>
                <w:rFonts w:hint="eastAsia" w:ascii="宋体" w:hAnsi="宋体" w:eastAsia="宋体" w:cs="宋体"/>
                <w:b/>
                <w:bCs/>
                <w:color w:val="auto"/>
                <w:highlight w:val="none"/>
                <w:lang w:val="en-US" w:eastAsia="zh-CN"/>
              </w:rPr>
              <w:t>技术、服务要求</w:t>
            </w:r>
          </w:p>
        </w:tc>
        <w:tc>
          <w:tcPr>
            <w:tcW w:w="1784" w:type="pct"/>
            <w:vAlign w:val="center"/>
          </w:tcPr>
          <w:p>
            <w:pPr>
              <w:pStyle w:val="48"/>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投标</w:t>
            </w:r>
            <w:r>
              <w:rPr>
                <w:rFonts w:hint="eastAsia" w:ascii="宋体" w:hAnsi="宋体" w:eastAsia="宋体" w:cs="宋体"/>
                <w:b/>
                <w:bCs/>
                <w:color w:val="auto"/>
                <w:highlight w:val="none"/>
                <w:lang w:val="en-US" w:eastAsia="zh-CN"/>
              </w:rPr>
              <w:t>应答</w:t>
            </w:r>
          </w:p>
        </w:tc>
        <w:tc>
          <w:tcPr>
            <w:tcW w:w="970" w:type="pct"/>
            <w:vAlign w:val="center"/>
          </w:tcPr>
          <w:p>
            <w:pPr>
              <w:pStyle w:val="48"/>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 w:type="pct"/>
            <w:vAlign w:val="top"/>
          </w:tcPr>
          <w:p>
            <w:pPr>
              <w:pStyle w:val="48"/>
              <w:bidi w:val="0"/>
              <w:rPr>
                <w:rFonts w:hint="eastAsia" w:ascii="宋体" w:hAnsi="宋体" w:eastAsia="宋体" w:cs="宋体"/>
                <w:b/>
                <w:bCs/>
                <w:color w:val="auto"/>
                <w:highlight w:val="none"/>
              </w:rPr>
            </w:pPr>
          </w:p>
        </w:tc>
        <w:tc>
          <w:tcPr>
            <w:tcW w:w="1743" w:type="pct"/>
            <w:vAlign w:val="top"/>
          </w:tcPr>
          <w:p>
            <w:pPr>
              <w:pStyle w:val="48"/>
              <w:bidi w:val="0"/>
              <w:rPr>
                <w:rFonts w:hint="eastAsia" w:ascii="宋体" w:hAnsi="宋体" w:eastAsia="宋体" w:cs="宋体"/>
                <w:b/>
                <w:bCs/>
                <w:color w:val="auto"/>
                <w:highlight w:val="none"/>
              </w:rPr>
            </w:pPr>
          </w:p>
        </w:tc>
        <w:tc>
          <w:tcPr>
            <w:tcW w:w="1784" w:type="pct"/>
            <w:vAlign w:val="top"/>
          </w:tcPr>
          <w:p>
            <w:pPr>
              <w:pStyle w:val="48"/>
              <w:bidi w:val="0"/>
              <w:rPr>
                <w:rFonts w:hint="eastAsia" w:ascii="宋体" w:hAnsi="宋体" w:eastAsia="宋体" w:cs="宋体"/>
                <w:b/>
                <w:bCs/>
                <w:color w:val="auto"/>
                <w:highlight w:val="none"/>
              </w:rPr>
            </w:pPr>
          </w:p>
        </w:tc>
        <w:tc>
          <w:tcPr>
            <w:tcW w:w="970" w:type="pct"/>
            <w:vAlign w:val="top"/>
          </w:tcPr>
          <w:p>
            <w:pPr>
              <w:pStyle w:val="48"/>
              <w:bidi w:val="0"/>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 w:type="pct"/>
            <w:vAlign w:val="top"/>
          </w:tcPr>
          <w:p>
            <w:pPr>
              <w:pStyle w:val="48"/>
              <w:bidi w:val="0"/>
              <w:rPr>
                <w:rFonts w:hint="eastAsia" w:ascii="宋体" w:hAnsi="宋体" w:eastAsia="宋体" w:cs="宋体"/>
                <w:b/>
                <w:bCs/>
                <w:color w:val="auto"/>
                <w:highlight w:val="none"/>
              </w:rPr>
            </w:pPr>
          </w:p>
        </w:tc>
        <w:tc>
          <w:tcPr>
            <w:tcW w:w="1743" w:type="pct"/>
            <w:vAlign w:val="top"/>
          </w:tcPr>
          <w:p>
            <w:pPr>
              <w:pStyle w:val="48"/>
              <w:bidi w:val="0"/>
              <w:rPr>
                <w:rFonts w:hint="eastAsia" w:ascii="宋体" w:hAnsi="宋体" w:eastAsia="宋体" w:cs="宋体"/>
                <w:b/>
                <w:bCs/>
                <w:color w:val="auto"/>
                <w:highlight w:val="none"/>
              </w:rPr>
            </w:pPr>
          </w:p>
        </w:tc>
        <w:tc>
          <w:tcPr>
            <w:tcW w:w="1784" w:type="pct"/>
            <w:vAlign w:val="top"/>
          </w:tcPr>
          <w:p>
            <w:pPr>
              <w:pStyle w:val="48"/>
              <w:bidi w:val="0"/>
              <w:rPr>
                <w:rFonts w:hint="eastAsia" w:ascii="宋体" w:hAnsi="宋体" w:eastAsia="宋体" w:cs="宋体"/>
                <w:b/>
                <w:bCs/>
                <w:color w:val="auto"/>
                <w:highlight w:val="none"/>
              </w:rPr>
            </w:pPr>
          </w:p>
        </w:tc>
        <w:tc>
          <w:tcPr>
            <w:tcW w:w="970" w:type="pct"/>
            <w:vAlign w:val="top"/>
          </w:tcPr>
          <w:p>
            <w:pPr>
              <w:pStyle w:val="48"/>
              <w:bidi w:val="0"/>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 w:type="pct"/>
            <w:vAlign w:val="top"/>
          </w:tcPr>
          <w:p>
            <w:pPr>
              <w:pStyle w:val="48"/>
              <w:bidi w:val="0"/>
              <w:rPr>
                <w:rFonts w:hint="eastAsia" w:ascii="宋体" w:hAnsi="宋体" w:eastAsia="宋体" w:cs="宋体"/>
                <w:b/>
                <w:bCs/>
                <w:color w:val="auto"/>
                <w:highlight w:val="none"/>
              </w:rPr>
            </w:pPr>
          </w:p>
        </w:tc>
        <w:tc>
          <w:tcPr>
            <w:tcW w:w="1743" w:type="pct"/>
            <w:vAlign w:val="top"/>
          </w:tcPr>
          <w:p>
            <w:pPr>
              <w:pStyle w:val="48"/>
              <w:bidi w:val="0"/>
              <w:rPr>
                <w:rFonts w:hint="eastAsia" w:ascii="宋体" w:hAnsi="宋体" w:eastAsia="宋体" w:cs="宋体"/>
                <w:b/>
                <w:bCs/>
                <w:color w:val="auto"/>
                <w:highlight w:val="none"/>
              </w:rPr>
            </w:pPr>
          </w:p>
        </w:tc>
        <w:tc>
          <w:tcPr>
            <w:tcW w:w="1784" w:type="pct"/>
            <w:vAlign w:val="top"/>
          </w:tcPr>
          <w:p>
            <w:pPr>
              <w:pStyle w:val="48"/>
              <w:bidi w:val="0"/>
              <w:rPr>
                <w:rFonts w:hint="eastAsia" w:ascii="宋体" w:hAnsi="宋体" w:eastAsia="宋体" w:cs="宋体"/>
                <w:b/>
                <w:bCs/>
                <w:color w:val="auto"/>
                <w:highlight w:val="none"/>
              </w:rPr>
            </w:pPr>
          </w:p>
        </w:tc>
        <w:tc>
          <w:tcPr>
            <w:tcW w:w="970" w:type="pct"/>
            <w:vAlign w:val="top"/>
          </w:tcPr>
          <w:p>
            <w:pPr>
              <w:pStyle w:val="48"/>
              <w:bidi w:val="0"/>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 w:type="pct"/>
            <w:vAlign w:val="top"/>
          </w:tcPr>
          <w:p>
            <w:pPr>
              <w:pStyle w:val="48"/>
              <w:bidi w:val="0"/>
              <w:rPr>
                <w:rFonts w:hint="eastAsia" w:ascii="宋体" w:hAnsi="宋体" w:eastAsia="宋体" w:cs="宋体"/>
                <w:b/>
                <w:bCs/>
                <w:color w:val="auto"/>
                <w:highlight w:val="none"/>
              </w:rPr>
            </w:pPr>
          </w:p>
        </w:tc>
        <w:tc>
          <w:tcPr>
            <w:tcW w:w="1743" w:type="pct"/>
            <w:vAlign w:val="top"/>
          </w:tcPr>
          <w:p>
            <w:pPr>
              <w:pStyle w:val="48"/>
              <w:bidi w:val="0"/>
              <w:rPr>
                <w:rFonts w:hint="eastAsia" w:ascii="宋体" w:hAnsi="宋体" w:eastAsia="宋体" w:cs="宋体"/>
                <w:b/>
                <w:bCs/>
                <w:color w:val="auto"/>
                <w:highlight w:val="none"/>
              </w:rPr>
            </w:pPr>
          </w:p>
        </w:tc>
        <w:tc>
          <w:tcPr>
            <w:tcW w:w="1784" w:type="pct"/>
            <w:vAlign w:val="top"/>
          </w:tcPr>
          <w:p>
            <w:pPr>
              <w:pStyle w:val="48"/>
              <w:bidi w:val="0"/>
              <w:rPr>
                <w:rFonts w:hint="eastAsia" w:ascii="宋体" w:hAnsi="宋体" w:eastAsia="宋体" w:cs="宋体"/>
                <w:b/>
                <w:bCs/>
                <w:color w:val="auto"/>
                <w:highlight w:val="none"/>
              </w:rPr>
            </w:pPr>
          </w:p>
        </w:tc>
        <w:tc>
          <w:tcPr>
            <w:tcW w:w="970" w:type="pct"/>
            <w:vAlign w:val="top"/>
          </w:tcPr>
          <w:p>
            <w:pPr>
              <w:pStyle w:val="48"/>
              <w:bidi w:val="0"/>
              <w:rPr>
                <w:rFonts w:hint="eastAsia" w:ascii="宋体" w:hAnsi="宋体" w:eastAsia="宋体" w:cs="宋体"/>
                <w:b/>
                <w:bCs/>
                <w:color w:val="auto"/>
                <w:highlight w:val="none"/>
              </w:rPr>
            </w:pPr>
          </w:p>
        </w:tc>
      </w:tr>
    </w:tbl>
    <w:p>
      <w:pPr>
        <w:pStyle w:val="49"/>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如与</w:t>
      </w:r>
      <w:r>
        <w:rPr>
          <w:rFonts w:hint="eastAsia" w:ascii="宋体" w:hAnsi="宋体" w:eastAsia="宋体" w:cs="宋体"/>
          <w:color w:val="auto"/>
          <w:highlight w:val="none"/>
          <w:lang w:val="en-US" w:eastAsia="zh-CN"/>
        </w:rPr>
        <w:t>招标文件第六章</w:t>
      </w:r>
      <w:r>
        <w:rPr>
          <w:rFonts w:hint="eastAsia" w:ascii="宋体" w:hAnsi="宋体" w:eastAsia="宋体" w:cs="宋体"/>
          <w:b/>
          <w:bCs/>
          <w:color w:val="auto"/>
          <w:highlight w:val="none"/>
          <w:lang w:val="en-US" w:eastAsia="zh-CN"/>
        </w:rPr>
        <w:t>技术、服务要求</w:t>
      </w:r>
      <w:r>
        <w:rPr>
          <w:rFonts w:hint="eastAsia" w:ascii="宋体" w:hAnsi="宋体" w:eastAsia="宋体" w:cs="宋体"/>
          <w:color w:val="auto"/>
          <w:highlight w:val="none"/>
          <w:lang w:val="en-US" w:eastAsia="zh-CN"/>
        </w:rPr>
        <w:t>的内容</w:t>
      </w:r>
      <w:r>
        <w:rPr>
          <w:rFonts w:hint="eastAsia" w:ascii="宋体" w:hAnsi="宋体" w:eastAsia="宋体" w:cs="宋体"/>
          <w:color w:val="auto"/>
          <w:highlight w:val="none"/>
          <w:lang w:eastAsia="zh-CN"/>
        </w:rPr>
        <w:t>有偏离(包括正偏离和负偏离)，请将偏离条款逐条应答。如与</w:t>
      </w:r>
      <w:r>
        <w:rPr>
          <w:rFonts w:hint="eastAsia" w:ascii="宋体" w:hAnsi="宋体" w:eastAsia="宋体" w:cs="宋体"/>
          <w:color w:val="auto"/>
          <w:highlight w:val="none"/>
          <w:lang w:val="en-US" w:eastAsia="zh-CN"/>
        </w:rPr>
        <w:t>招标文件第六章</w:t>
      </w:r>
      <w:r>
        <w:rPr>
          <w:rFonts w:hint="eastAsia" w:ascii="宋体" w:hAnsi="宋体" w:eastAsia="宋体" w:cs="宋体"/>
          <w:b/>
          <w:bCs/>
          <w:color w:val="auto"/>
          <w:highlight w:val="none"/>
          <w:lang w:val="en-US" w:eastAsia="zh-CN"/>
        </w:rPr>
        <w:t>技术、服务要求</w:t>
      </w:r>
      <w:r>
        <w:rPr>
          <w:rFonts w:hint="eastAsia" w:ascii="宋体" w:hAnsi="宋体" w:eastAsia="宋体" w:cs="宋体"/>
          <w:color w:val="auto"/>
          <w:highlight w:val="none"/>
          <w:lang w:val="en-US" w:eastAsia="zh-CN"/>
        </w:rPr>
        <w:t>的所有</w:t>
      </w:r>
      <w:r>
        <w:rPr>
          <w:rFonts w:hint="eastAsia" w:ascii="宋体" w:hAnsi="宋体" w:eastAsia="宋体" w:cs="宋体"/>
          <w:color w:val="auto"/>
          <w:highlight w:val="none"/>
          <w:lang w:eastAsia="zh-CN"/>
        </w:rPr>
        <w:t>条款无偏离，则无须在此表中应答，视为默认完全响应和接受</w:t>
      </w:r>
      <w:r>
        <w:rPr>
          <w:rFonts w:hint="eastAsia" w:ascii="宋体" w:hAnsi="宋体" w:eastAsia="宋体" w:cs="宋体"/>
          <w:color w:val="auto"/>
          <w:highlight w:val="none"/>
          <w:lang w:val="en-US" w:eastAsia="zh-CN"/>
        </w:rPr>
        <w:t>招标文件第六章</w:t>
      </w:r>
      <w:r>
        <w:rPr>
          <w:rFonts w:hint="eastAsia" w:ascii="宋体" w:hAnsi="宋体" w:eastAsia="宋体" w:cs="宋体"/>
          <w:b/>
          <w:bCs/>
          <w:color w:val="auto"/>
          <w:highlight w:val="none"/>
          <w:lang w:val="en-US" w:eastAsia="zh-CN"/>
        </w:rPr>
        <w:t>技术、服务要求</w:t>
      </w:r>
      <w:r>
        <w:rPr>
          <w:rFonts w:hint="eastAsia" w:ascii="宋体" w:hAnsi="宋体" w:eastAsia="宋体" w:cs="宋体"/>
          <w:color w:val="auto"/>
          <w:highlight w:val="none"/>
          <w:lang w:val="en-US" w:eastAsia="zh-CN"/>
        </w:rPr>
        <w:t>所有</w:t>
      </w:r>
      <w:r>
        <w:rPr>
          <w:rFonts w:hint="eastAsia" w:ascii="宋体" w:hAnsi="宋体" w:eastAsia="宋体" w:cs="宋体"/>
          <w:color w:val="auto"/>
          <w:highlight w:val="none"/>
          <w:lang w:eastAsia="zh-CN"/>
        </w:rPr>
        <w:t>的内容，供应商不得以未作应答而拒不接受。供应商必须据实填写，不得虚假应答，否则将取消其</w:t>
      </w: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lang w:eastAsia="zh-CN"/>
        </w:rPr>
        <w:t>资格。</w:t>
      </w: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highlight w:val="none"/>
        </w:rPr>
        <w:t>(盖章)</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投标日期</w:t>
      </w:r>
      <w:r>
        <w:rPr>
          <w:rFonts w:hint="eastAsia" w:ascii="宋体" w:hAnsi="宋体" w:eastAsia="宋体" w:cs="宋体"/>
          <w:color w:val="auto"/>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pStyle w:val="25"/>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bookmarkEnd w:id="908"/>
    <w:bookmarkEnd w:id="909"/>
    <w:p>
      <w:pPr>
        <w:pStyle w:val="47"/>
        <w:numPr>
          <w:ilvl w:val="0"/>
          <w:numId w:val="21"/>
        </w:numPr>
        <w:bidi w:val="0"/>
        <w:ind w:left="0" w:leftChars="0" w:firstLine="0" w:firstLineChars="0"/>
        <w:rPr>
          <w:rFonts w:hint="eastAsia" w:ascii="宋体" w:hAnsi="宋体" w:eastAsia="宋体" w:cs="宋体"/>
          <w:color w:val="auto"/>
          <w:highlight w:val="none"/>
          <w:lang w:val="en-US" w:eastAsia="zh-CN"/>
        </w:rPr>
      </w:pPr>
      <w:bookmarkStart w:id="910" w:name="_Toc28539"/>
      <w:bookmarkStart w:id="911" w:name="_Toc22168"/>
      <w:r>
        <w:rPr>
          <w:rFonts w:hint="eastAsia" w:ascii="宋体" w:hAnsi="宋体" w:eastAsia="宋体" w:cs="宋体"/>
          <w:color w:val="auto"/>
          <w:highlight w:val="none"/>
          <w:lang w:val="en-US" w:eastAsia="zh-CN"/>
        </w:rPr>
        <w:t>履约能力及相关证明</w:t>
      </w:r>
      <w:bookmarkEnd w:id="910"/>
      <w:bookmarkEnd w:id="911"/>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val="en-US" w:eastAsia="zh-CN"/>
        </w:rPr>
        <w:t>格式自拟。</w:t>
      </w: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bookmarkEnd w:id="903"/>
    <w:p>
      <w:pPr>
        <w:pStyle w:val="47"/>
        <w:numPr>
          <w:ilvl w:val="0"/>
          <w:numId w:val="21"/>
        </w:numPr>
        <w:bidi w:val="0"/>
        <w:ind w:left="0" w:leftChars="0" w:firstLine="0" w:firstLineChars="0"/>
        <w:rPr>
          <w:rFonts w:hint="eastAsia" w:ascii="宋体" w:hAnsi="宋体" w:eastAsia="宋体" w:cs="宋体"/>
          <w:color w:val="auto"/>
          <w:highlight w:val="none"/>
          <w:lang w:val="en-US" w:eastAsia="zh-CN"/>
        </w:rPr>
      </w:pPr>
      <w:bookmarkStart w:id="912" w:name="_Toc6954"/>
      <w:bookmarkStart w:id="913" w:name="_Toc13361"/>
      <w:bookmarkStart w:id="914" w:name="_Toc19240"/>
      <w:r>
        <w:rPr>
          <w:rFonts w:hint="eastAsia" w:ascii="宋体" w:hAnsi="宋体" w:eastAsia="宋体" w:cs="宋体"/>
          <w:color w:val="auto"/>
          <w:highlight w:val="none"/>
          <w:lang w:val="en-US" w:eastAsia="zh-CN"/>
        </w:rPr>
        <w:t>投标人针对本项目人员配置情况表</w:t>
      </w:r>
      <w:bookmarkEnd w:id="912"/>
      <w:bookmarkEnd w:id="913"/>
    </w:p>
    <w:p>
      <w:pPr>
        <w:pStyle w:val="25"/>
        <w:bidi w:val="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pPr>
        <w:pStyle w:val="25"/>
        <w:bidi w:val="0"/>
        <w:rPr>
          <w:rFonts w:hint="eastAsia" w:ascii="宋体" w:hAnsi="宋体" w:eastAsia="宋体" w:cs="宋体"/>
          <w:color w:val="auto"/>
          <w:highlight w:val="none"/>
          <w:u w:val="singl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rPr>
              <w:t>类别</w:t>
            </w:r>
          </w:p>
        </w:tc>
        <w:tc>
          <w:tcPr>
            <w:tcW w:w="923" w:type="dxa"/>
            <w:vMerge w:val="restart"/>
            <w:vAlign w:val="center"/>
          </w:tcPr>
          <w:p>
            <w:pPr>
              <w:pStyle w:val="48"/>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职务</w:t>
            </w:r>
            <w:r>
              <w:rPr>
                <w:rFonts w:hint="eastAsia" w:ascii="宋体" w:hAnsi="宋体" w:eastAsia="宋体" w:cs="宋体"/>
                <w:b/>
                <w:bCs/>
                <w:color w:val="auto"/>
                <w:highlight w:val="none"/>
                <w:lang w:val="en-US" w:eastAsia="zh-CN"/>
              </w:rPr>
              <w:t>(岗位)</w:t>
            </w:r>
          </w:p>
        </w:tc>
        <w:tc>
          <w:tcPr>
            <w:tcW w:w="921" w:type="dxa"/>
            <w:vMerge w:val="restart"/>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姓名</w:t>
            </w:r>
          </w:p>
        </w:tc>
        <w:tc>
          <w:tcPr>
            <w:tcW w:w="923" w:type="dxa"/>
            <w:vMerge w:val="restart"/>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rPr>
              <w:t>职称</w:t>
            </w:r>
          </w:p>
        </w:tc>
        <w:tc>
          <w:tcPr>
            <w:tcW w:w="922" w:type="dxa"/>
            <w:vMerge w:val="restart"/>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常住地</w:t>
            </w:r>
          </w:p>
        </w:tc>
        <w:tc>
          <w:tcPr>
            <w:tcW w:w="4919" w:type="dxa"/>
            <w:gridSpan w:val="4"/>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8"/>
              <w:bidi w:val="0"/>
              <w:rPr>
                <w:rFonts w:hint="eastAsia" w:ascii="宋体" w:hAnsi="宋体" w:eastAsia="宋体" w:cs="宋体"/>
                <w:b/>
                <w:bCs/>
                <w:color w:val="auto"/>
                <w:highlight w:val="none"/>
              </w:rPr>
            </w:pPr>
          </w:p>
        </w:tc>
        <w:tc>
          <w:tcPr>
            <w:tcW w:w="923" w:type="dxa"/>
            <w:vMerge w:val="continue"/>
            <w:vAlign w:val="center"/>
          </w:tcPr>
          <w:p>
            <w:pPr>
              <w:pStyle w:val="48"/>
              <w:bidi w:val="0"/>
              <w:rPr>
                <w:rFonts w:hint="eastAsia" w:ascii="宋体" w:hAnsi="宋体" w:eastAsia="宋体" w:cs="宋体"/>
                <w:b/>
                <w:bCs/>
                <w:color w:val="auto"/>
                <w:highlight w:val="none"/>
              </w:rPr>
            </w:pPr>
          </w:p>
        </w:tc>
        <w:tc>
          <w:tcPr>
            <w:tcW w:w="921" w:type="dxa"/>
            <w:vMerge w:val="continue"/>
            <w:vAlign w:val="center"/>
          </w:tcPr>
          <w:p>
            <w:pPr>
              <w:pStyle w:val="48"/>
              <w:bidi w:val="0"/>
              <w:rPr>
                <w:rFonts w:hint="eastAsia" w:ascii="宋体" w:hAnsi="宋体" w:eastAsia="宋体" w:cs="宋体"/>
                <w:b/>
                <w:bCs/>
                <w:color w:val="auto"/>
                <w:highlight w:val="none"/>
              </w:rPr>
            </w:pPr>
          </w:p>
        </w:tc>
        <w:tc>
          <w:tcPr>
            <w:tcW w:w="923" w:type="dxa"/>
            <w:vMerge w:val="continue"/>
            <w:vAlign w:val="center"/>
          </w:tcPr>
          <w:p>
            <w:pPr>
              <w:pStyle w:val="48"/>
              <w:bidi w:val="0"/>
              <w:rPr>
                <w:rFonts w:hint="eastAsia" w:ascii="宋体" w:hAnsi="宋体" w:eastAsia="宋体" w:cs="宋体"/>
                <w:b/>
                <w:bCs/>
                <w:color w:val="auto"/>
                <w:highlight w:val="none"/>
              </w:rPr>
            </w:pPr>
          </w:p>
        </w:tc>
        <w:tc>
          <w:tcPr>
            <w:tcW w:w="922" w:type="dxa"/>
            <w:vMerge w:val="continue"/>
            <w:vAlign w:val="center"/>
          </w:tcPr>
          <w:p>
            <w:pPr>
              <w:pStyle w:val="48"/>
              <w:bidi w:val="0"/>
              <w:rPr>
                <w:rFonts w:hint="eastAsia" w:ascii="宋体" w:hAnsi="宋体" w:eastAsia="宋体" w:cs="宋体"/>
                <w:b/>
                <w:bCs/>
                <w:color w:val="auto"/>
                <w:highlight w:val="none"/>
              </w:rPr>
            </w:pPr>
          </w:p>
        </w:tc>
        <w:tc>
          <w:tcPr>
            <w:tcW w:w="1436" w:type="dxa"/>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rPr>
              <w:t>证书名称</w:t>
            </w:r>
          </w:p>
        </w:tc>
        <w:tc>
          <w:tcPr>
            <w:tcW w:w="1022" w:type="dxa"/>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rPr>
              <w:t>级别</w:t>
            </w:r>
          </w:p>
        </w:tc>
        <w:tc>
          <w:tcPr>
            <w:tcW w:w="1232" w:type="dxa"/>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rPr>
              <w:t>证号</w:t>
            </w:r>
          </w:p>
        </w:tc>
        <w:tc>
          <w:tcPr>
            <w:tcW w:w="1229" w:type="dxa"/>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8"/>
              <w:bidi w:val="0"/>
              <w:rPr>
                <w:rFonts w:hint="eastAsia" w:ascii="宋体" w:hAnsi="宋体" w:eastAsia="宋体" w:cs="宋体"/>
                <w:color w:val="auto"/>
                <w:highlight w:val="none"/>
              </w:rPr>
            </w:pPr>
          </w:p>
        </w:tc>
        <w:tc>
          <w:tcPr>
            <w:tcW w:w="923" w:type="dxa"/>
            <w:vAlign w:val="top"/>
          </w:tcPr>
          <w:p>
            <w:pPr>
              <w:pStyle w:val="48"/>
              <w:bidi w:val="0"/>
              <w:rPr>
                <w:rFonts w:hint="eastAsia" w:ascii="宋体" w:hAnsi="宋体" w:eastAsia="宋体" w:cs="宋体"/>
                <w:color w:val="auto"/>
                <w:highlight w:val="none"/>
              </w:rPr>
            </w:pPr>
          </w:p>
        </w:tc>
        <w:tc>
          <w:tcPr>
            <w:tcW w:w="921" w:type="dxa"/>
            <w:vAlign w:val="top"/>
          </w:tcPr>
          <w:p>
            <w:pPr>
              <w:pStyle w:val="48"/>
              <w:bidi w:val="0"/>
              <w:rPr>
                <w:rFonts w:hint="eastAsia" w:ascii="宋体" w:hAnsi="宋体" w:eastAsia="宋体" w:cs="宋体"/>
                <w:color w:val="auto"/>
                <w:highlight w:val="none"/>
              </w:rPr>
            </w:pPr>
          </w:p>
        </w:tc>
        <w:tc>
          <w:tcPr>
            <w:tcW w:w="923" w:type="dxa"/>
            <w:vAlign w:val="top"/>
          </w:tcPr>
          <w:p>
            <w:pPr>
              <w:pStyle w:val="48"/>
              <w:bidi w:val="0"/>
              <w:rPr>
                <w:rFonts w:hint="eastAsia" w:ascii="宋体" w:hAnsi="宋体" w:eastAsia="宋体" w:cs="宋体"/>
                <w:color w:val="auto"/>
                <w:highlight w:val="none"/>
              </w:rPr>
            </w:pPr>
          </w:p>
        </w:tc>
        <w:tc>
          <w:tcPr>
            <w:tcW w:w="922" w:type="dxa"/>
            <w:vAlign w:val="top"/>
          </w:tcPr>
          <w:p>
            <w:pPr>
              <w:pStyle w:val="48"/>
              <w:bidi w:val="0"/>
              <w:rPr>
                <w:rFonts w:hint="eastAsia" w:ascii="宋体" w:hAnsi="宋体" w:eastAsia="宋体" w:cs="宋体"/>
                <w:color w:val="auto"/>
                <w:highlight w:val="none"/>
              </w:rPr>
            </w:pPr>
          </w:p>
        </w:tc>
        <w:tc>
          <w:tcPr>
            <w:tcW w:w="1436" w:type="dxa"/>
            <w:vAlign w:val="top"/>
          </w:tcPr>
          <w:p>
            <w:pPr>
              <w:pStyle w:val="48"/>
              <w:bidi w:val="0"/>
              <w:rPr>
                <w:rFonts w:hint="eastAsia" w:ascii="宋体" w:hAnsi="宋体" w:eastAsia="宋体" w:cs="宋体"/>
                <w:color w:val="auto"/>
                <w:highlight w:val="none"/>
              </w:rPr>
            </w:pPr>
          </w:p>
        </w:tc>
        <w:tc>
          <w:tcPr>
            <w:tcW w:w="1022" w:type="dxa"/>
            <w:vAlign w:val="top"/>
          </w:tcPr>
          <w:p>
            <w:pPr>
              <w:pStyle w:val="48"/>
              <w:bidi w:val="0"/>
              <w:rPr>
                <w:rFonts w:hint="eastAsia" w:ascii="宋体" w:hAnsi="宋体" w:eastAsia="宋体" w:cs="宋体"/>
                <w:color w:val="auto"/>
                <w:highlight w:val="none"/>
              </w:rPr>
            </w:pPr>
          </w:p>
        </w:tc>
        <w:tc>
          <w:tcPr>
            <w:tcW w:w="1232" w:type="dxa"/>
            <w:vAlign w:val="top"/>
          </w:tcPr>
          <w:p>
            <w:pPr>
              <w:pStyle w:val="48"/>
              <w:bidi w:val="0"/>
              <w:rPr>
                <w:rFonts w:hint="eastAsia" w:ascii="宋体" w:hAnsi="宋体" w:eastAsia="宋体" w:cs="宋体"/>
                <w:color w:val="auto"/>
                <w:highlight w:val="none"/>
              </w:rPr>
            </w:pPr>
          </w:p>
        </w:tc>
        <w:tc>
          <w:tcPr>
            <w:tcW w:w="1229" w:type="dxa"/>
            <w:vAlign w:val="top"/>
          </w:tcPr>
          <w:p>
            <w:pPr>
              <w:pStyle w:val="48"/>
              <w:bidi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8"/>
              <w:bidi w:val="0"/>
              <w:rPr>
                <w:rFonts w:hint="eastAsia" w:ascii="宋体" w:hAnsi="宋体" w:eastAsia="宋体" w:cs="宋体"/>
                <w:color w:val="auto"/>
                <w:highlight w:val="none"/>
              </w:rPr>
            </w:pPr>
          </w:p>
        </w:tc>
        <w:tc>
          <w:tcPr>
            <w:tcW w:w="923" w:type="dxa"/>
            <w:vAlign w:val="top"/>
          </w:tcPr>
          <w:p>
            <w:pPr>
              <w:pStyle w:val="48"/>
              <w:bidi w:val="0"/>
              <w:rPr>
                <w:rFonts w:hint="eastAsia" w:ascii="宋体" w:hAnsi="宋体" w:eastAsia="宋体" w:cs="宋体"/>
                <w:color w:val="auto"/>
                <w:highlight w:val="none"/>
              </w:rPr>
            </w:pPr>
          </w:p>
        </w:tc>
        <w:tc>
          <w:tcPr>
            <w:tcW w:w="921" w:type="dxa"/>
            <w:vAlign w:val="top"/>
          </w:tcPr>
          <w:p>
            <w:pPr>
              <w:pStyle w:val="48"/>
              <w:bidi w:val="0"/>
              <w:rPr>
                <w:rFonts w:hint="eastAsia" w:ascii="宋体" w:hAnsi="宋体" w:eastAsia="宋体" w:cs="宋体"/>
                <w:color w:val="auto"/>
                <w:highlight w:val="none"/>
              </w:rPr>
            </w:pPr>
          </w:p>
        </w:tc>
        <w:tc>
          <w:tcPr>
            <w:tcW w:w="923" w:type="dxa"/>
            <w:vAlign w:val="top"/>
          </w:tcPr>
          <w:p>
            <w:pPr>
              <w:pStyle w:val="48"/>
              <w:bidi w:val="0"/>
              <w:rPr>
                <w:rFonts w:hint="eastAsia" w:ascii="宋体" w:hAnsi="宋体" w:eastAsia="宋体" w:cs="宋体"/>
                <w:color w:val="auto"/>
                <w:highlight w:val="none"/>
              </w:rPr>
            </w:pPr>
          </w:p>
        </w:tc>
        <w:tc>
          <w:tcPr>
            <w:tcW w:w="922" w:type="dxa"/>
            <w:vAlign w:val="top"/>
          </w:tcPr>
          <w:p>
            <w:pPr>
              <w:pStyle w:val="48"/>
              <w:bidi w:val="0"/>
              <w:rPr>
                <w:rFonts w:hint="eastAsia" w:ascii="宋体" w:hAnsi="宋体" w:eastAsia="宋体" w:cs="宋体"/>
                <w:color w:val="auto"/>
                <w:highlight w:val="none"/>
              </w:rPr>
            </w:pPr>
          </w:p>
        </w:tc>
        <w:tc>
          <w:tcPr>
            <w:tcW w:w="1436" w:type="dxa"/>
            <w:vAlign w:val="top"/>
          </w:tcPr>
          <w:p>
            <w:pPr>
              <w:pStyle w:val="48"/>
              <w:bidi w:val="0"/>
              <w:rPr>
                <w:rFonts w:hint="eastAsia" w:ascii="宋体" w:hAnsi="宋体" w:eastAsia="宋体" w:cs="宋体"/>
                <w:color w:val="auto"/>
                <w:highlight w:val="none"/>
              </w:rPr>
            </w:pPr>
          </w:p>
        </w:tc>
        <w:tc>
          <w:tcPr>
            <w:tcW w:w="1022" w:type="dxa"/>
            <w:vAlign w:val="top"/>
          </w:tcPr>
          <w:p>
            <w:pPr>
              <w:pStyle w:val="48"/>
              <w:bidi w:val="0"/>
              <w:rPr>
                <w:rFonts w:hint="eastAsia" w:ascii="宋体" w:hAnsi="宋体" w:eastAsia="宋体" w:cs="宋体"/>
                <w:color w:val="auto"/>
                <w:highlight w:val="none"/>
              </w:rPr>
            </w:pPr>
          </w:p>
        </w:tc>
        <w:tc>
          <w:tcPr>
            <w:tcW w:w="1232" w:type="dxa"/>
            <w:vAlign w:val="top"/>
          </w:tcPr>
          <w:p>
            <w:pPr>
              <w:pStyle w:val="48"/>
              <w:bidi w:val="0"/>
              <w:rPr>
                <w:rFonts w:hint="eastAsia" w:ascii="宋体" w:hAnsi="宋体" w:eastAsia="宋体" w:cs="宋体"/>
                <w:color w:val="auto"/>
                <w:highlight w:val="none"/>
              </w:rPr>
            </w:pPr>
          </w:p>
        </w:tc>
        <w:tc>
          <w:tcPr>
            <w:tcW w:w="1229" w:type="dxa"/>
            <w:vAlign w:val="top"/>
          </w:tcPr>
          <w:p>
            <w:pPr>
              <w:pStyle w:val="48"/>
              <w:bidi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8"/>
              <w:bidi w:val="0"/>
              <w:rPr>
                <w:rFonts w:hint="eastAsia" w:ascii="宋体" w:hAnsi="宋体" w:eastAsia="宋体" w:cs="宋体"/>
                <w:color w:val="auto"/>
                <w:highlight w:val="none"/>
              </w:rPr>
            </w:pPr>
          </w:p>
        </w:tc>
        <w:tc>
          <w:tcPr>
            <w:tcW w:w="923" w:type="dxa"/>
            <w:vAlign w:val="top"/>
          </w:tcPr>
          <w:p>
            <w:pPr>
              <w:pStyle w:val="48"/>
              <w:bidi w:val="0"/>
              <w:rPr>
                <w:rFonts w:hint="eastAsia" w:ascii="宋体" w:hAnsi="宋体" w:eastAsia="宋体" w:cs="宋体"/>
                <w:color w:val="auto"/>
                <w:highlight w:val="none"/>
              </w:rPr>
            </w:pPr>
          </w:p>
        </w:tc>
        <w:tc>
          <w:tcPr>
            <w:tcW w:w="921" w:type="dxa"/>
            <w:vAlign w:val="top"/>
          </w:tcPr>
          <w:p>
            <w:pPr>
              <w:pStyle w:val="48"/>
              <w:bidi w:val="0"/>
              <w:rPr>
                <w:rFonts w:hint="eastAsia" w:ascii="宋体" w:hAnsi="宋体" w:eastAsia="宋体" w:cs="宋体"/>
                <w:color w:val="auto"/>
                <w:highlight w:val="none"/>
              </w:rPr>
            </w:pPr>
          </w:p>
        </w:tc>
        <w:tc>
          <w:tcPr>
            <w:tcW w:w="923" w:type="dxa"/>
            <w:vAlign w:val="top"/>
          </w:tcPr>
          <w:p>
            <w:pPr>
              <w:pStyle w:val="48"/>
              <w:bidi w:val="0"/>
              <w:rPr>
                <w:rFonts w:hint="eastAsia" w:ascii="宋体" w:hAnsi="宋体" w:eastAsia="宋体" w:cs="宋体"/>
                <w:color w:val="auto"/>
                <w:highlight w:val="none"/>
              </w:rPr>
            </w:pPr>
          </w:p>
        </w:tc>
        <w:tc>
          <w:tcPr>
            <w:tcW w:w="922" w:type="dxa"/>
            <w:vAlign w:val="top"/>
          </w:tcPr>
          <w:p>
            <w:pPr>
              <w:pStyle w:val="48"/>
              <w:bidi w:val="0"/>
              <w:rPr>
                <w:rFonts w:hint="eastAsia" w:ascii="宋体" w:hAnsi="宋体" w:eastAsia="宋体" w:cs="宋体"/>
                <w:color w:val="auto"/>
                <w:highlight w:val="none"/>
              </w:rPr>
            </w:pPr>
          </w:p>
        </w:tc>
        <w:tc>
          <w:tcPr>
            <w:tcW w:w="1436" w:type="dxa"/>
            <w:vAlign w:val="top"/>
          </w:tcPr>
          <w:p>
            <w:pPr>
              <w:pStyle w:val="48"/>
              <w:bidi w:val="0"/>
              <w:rPr>
                <w:rFonts w:hint="eastAsia" w:ascii="宋体" w:hAnsi="宋体" w:eastAsia="宋体" w:cs="宋体"/>
                <w:color w:val="auto"/>
                <w:highlight w:val="none"/>
              </w:rPr>
            </w:pPr>
          </w:p>
        </w:tc>
        <w:tc>
          <w:tcPr>
            <w:tcW w:w="1022" w:type="dxa"/>
            <w:vAlign w:val="top"/>
          </w:tcPr>
          <w:p>
            <w:pPr>
              <w:pStyle w:val="48"/>
              <w:bidi w:val="0"/>
              <w:rPr>
                <w:rFonts w:hint="eastAsia" w:ascii="宋体" w:hAnsi="宋体" w:eastAsia="宋体" w:cs="宋体"/>
                <w:color w:val="auto"/>
                <w:highlight w:val="none"/>
              </w:rPr>
            </w:pPr>
          </w:p>
        </w:tc>
        <w:tc>
          <w:tcPr>
            <w:tcW w:w="1232" w:type="dxa"/>
            <w:vAlign w:val="top"/>
          </w:tcPr>
          <w:p>
            <w:pPr>
              <w:pStyle w:val="48"/>
              <w:bidi w:val="0"/>
              <w:rPr>
                <w:rFonts w:hint="eastAsia" w:ascii="宋体" w:hAnsi="宋体" w:eastAsia="宋体" w:cs="宋体"/>
                <w:color w:val="auto"/>
                <w:highlight w:val="none"/>
              </w:rPr>
            </w:pPr>
          </w:p>
        </w:tc>
        <w:tc>
          <w:tcPr>
            <w:tcW w:w="1229" w:type="dxa"/>
            <w:vAlign w:val="top"/>
          </w:tcPr>
          <w:p>
            <w:pPr>
              <w:pStyle w:val="48"/>
              <w:bidi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8"/>
              <w:bidi w:val="0"/>
              <w:rPr>
                <w:rFonts w:hint="eastAsia" w:ascii="宋体" w:hAnsi="宋体" w:eastAsia="宋体" w:cs="宋体"/>
                <w:color w:val="auto"/>
                <w:highlight w:val="none"/>
              </w:rPr>
            </w:pPr>
          </w:p>
        </w:tc>
        <w:tc>
          <w:tcPr>
            <w:tcW w:w="923" w:type="dxa"/>
            <w:vAlign w:val="top"/>
          </w:tcPr>
          <w:p>
            <w:pPr>
              <w:pStyle w:val="48"/>
              <w:bidi w:val="0"/>
              <w:rPr>
                <w:rFonts w:hint="eastAsia" w:ascii="宋体" w:hAnsi="宋体" w:eastAsia="宋体" w:cs="宋体"/>
                <w:color w:val="auto"/>
                <w:highlight w:val="none"/>
              </w:rPr>
            </w:pPr>
          </w:p>
        </w:tc>
        <w:tc>
          <w:tcPr>
            <w:tcW w:w="921" w:type="dxa"/>
            <w:vAlign w:val="top"/>
          </w:tcPr>
          <w:p>
            <w:pPr>
              <w:pStyle w:val="48"/>
              <w:bidi w:val="0"/>
              <w:rPr>
                <w:rFonts w:hint="eastAsia" w:ascii="宋体" w:hAnsi="宋体" w:eastAsia="宋体" w:cs="宋体"/>
                <w:color w:val="auto"/>
                <w:highlight w:val="none"/>
              </w:rPr>
            </w:pPr>
          </w:p>
        </w:tc>
        <w:tc>
          <w:tcPr>
            <w:tcW w:w="923" w:type="dxa"/>
            <w:vAlign w:val="top"/>
          </w:tcPr>
          <w:p>
            <w:pPr>
              <w:pStyle w:val="48"/>
              <w:bidi w:val="0"/>
              <w:rPr>
                <w:rFonts w:hint="eastAsia" w:ascii="宋体" w:hAnsi="宋体" w:eastAsia="宋体" w:cs="宋体"/>
                <w:color w:val="auto"/>
                <w:highlight w:val="none"/>
              </w:rPr>
            </w:pPr>
          </w:p>
        </w:tc>
        <w:tc>
          <w:tcPr>
            <w:tcW w:w="922" w:type="dxa"/>
            <w:vAlign w:val="top"/>
          </w:tcPr>
          <w:p>
            <w:pPr>
              <w:pStyle w:val="48"/>
              <w:bidi w:val="0"/>
              <w:rPr>
                <w:rFonts w:hint="eastAsia" w:ascii="宋体" w:hAnsi="宋体" w:eastAsia="宋体" w:cs="宋体"/>
                <w:color w:val="auto"/>
                <w:highlight w:val="none"/>
              </w:rPr>
            </w:pPr>
          </w:p>
        </w:tc>
        <w:tc>
          <w:tcPr>
            <w:tcW w:w="1436" w:type="dxa"/>
            <w:vAlign w:val="top"/>
          </w:tcPr>
          <w:p>
            <w:pPr>
              <w:pStyle w:val="48"/>
              <w:bidi w:val="0"/>
              <w:rPr>
                <w:rFonts w:hint="eastAsia" w:ascii="宋体" w:hAnsi="宋体" w:eastAsia="宋体" w:cs="宋体"/>
                <w:color w:val="auto"/>
                <w:highlight w:val="none"/>
              </w:rPr>
            </w:pPr>
          </w:p>
        </w:tc>
        <w:tc>
          <w:tcPr>
            <w:tcW w:w="1022" w:type="dxa"/>
            <w:vAlign w:val="top"/>
          </w:tcPr>
          <w:p>
            <w:pPr>
              <w:pStyle w:val="48"/>
              <w:bidi w:val="0"/>
              <w:rPr>
                <w:rFonts w:hint="eastAsia" w:ascii="宋体" w:hAnsi="宋体" w:eastAsia="宋体" w:cs="宋体"/>
                <w:color w:val="auto"/>
                <w:highlight w:val="none"/>
              </w:rPr>
            </w:pPr>
          </w:p>
        </w:tc>
        <w:tc>
          <w:tcPr>
            <w:tcW w:w="1232" w:type="dxa"/>
            <w:vAlign w:val="top"/>
          </w:tcPr>
          <w:p>
            <w:pPr>
              <w:pStyle w:val="48"/>
              <w:bidi w:val="0"/>
              <w:rPr>
                <w:rFonts w:hint="eastAsia" w:ascii="宋体" w:hAnsi="宋体" w:eastAsia="宋体" w:cs="宋体"/>
                <w:color w:val="auto"/>
                <w:highlight w:val="none"/>
              </w:rPr>
            </w:pPr>
          </w:p>
        </w:tc>
        <w:tc>
          <w:tcPr>
            <w:tcW w:w="1229" w:type="dxa"/>
            <w:vAlign w:val="top"/>
          </w:tcPr>
          <w:p>
            <w:pPr>
              <w:pStyle w:val="48"/>
              <w:bidi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8"/>
              <w:bidi w:val="0"/>
              <w:rPr>
                <w:rFonts w:hint="eastAsia" w:ascii="宋体" w:hAnsi="宋体" w:eastAsia="宋体" w:cs="宋体"/>
                <w:color w:val="auto"/>
                <w:highlight w:val="none"/>
              </w:rPr>
            </w:pPr>
          </w:p>
        </w:tc>
        <w:tc>
          <w:tcPr>
            <w:tcW w:w="923" w:type="dxa"/>
            <w:vAlign w:val="top"/>
          </w:tcPr>
          <w:p>
            <w:pPr>
              <w:pStyle w:val="48"/>
              <w:bidi w:val="0"/>
              <w:rPr>
                <w:rFonts w:hint="eastAsia" w:ascii="宋体" w:hAnsi="宋体" w:eastAsia="宋体" w:cs="宋体"/>
                <w:color w:val="auto"/>
                <w:highlight w:val="none"/>
              </w:rPr>
            </w:pPr>
          </w:p>
        </w:tc>
        <w:tc>
          <w:tcPr>
            <w:tcW w:w="921" w:type="dxa"/>
            <w:vAlign w:val="top"/>
          </w:tcPr>
          <w:p>
            <w:pPr>
              <w:pStyle w:val="48"/>
              <w:bidi w:val="0"/>
              <w:rPr>
                <w:rFonts w:hint="eastAsia" w:ascii="宋体" w:hAnsi="宋体" w:eastAsia="宋体" w:cs="宋体"/>
                <w:color w:val="auto"/>
                <w:highlight w:val="none"/>
              </w:rPr>
            </w:pPr>
          </w:p>
        </w:tc>
        <w:tc>
          <w:tcPr>
            <w:tcW w:w="923" w:type="dxa"/>
            <w:vAlign w:val="top"/>
          </w:tcPr>
          <w:p>
            <w:pPr>
              <w:pStyle w:val="48"/>
              <w:bidi w:val="0"/>
              <w:rPr>
                <w:rFonts w:hint="eastAsia" w:ascii="宋体" w:hAnsi="宋体" w:eastAsia="宋体" w:cs="宋体"/>
                <w:color w:val="auto"/>
                <w:highlight w:val="none"/>
              </w:rPr>
            </w:pPr>
          </w:p>
        </w:tc>
        <w:tc>
          <w:tcPr>
            <w:tcW w:w="922" w:type="dxa"/>
            <w:vAlign w:val="top"/>
          </w:tcPr>
          <w:p>
            <w:pPr>
              <w:pStyle w:val="48"/>
              <w:bidi w:val="0"/>
              <w:rPr>
                <w:rFonts w:hint="eastAsia" w:ascii="宋体" w:hAnsi="宋体" w:eastAsia="宋体" w:cs="宋体"/>
                <w:color w:val="auto"/>
                <w:highlight w:val="none"/>
              </w:rPr>
            </w:pPr>
          </w:p>
        </w:tc>
        <w:tc>
          <w:tcPr>
            <w:tcW w:w="1436" w:type="dxa"/>
            <w:vAlign w:val="top"/>
          </w:tcPr>
          <w:p>
            <w:pPr>
              <w:pStyle w:val="48"/>
              <w:bidi w:val="0"/>
              <w:rPr>
                <w:rFonts w:hint="eastAsia" w:ascii="宋体" w:hAnsi="宋体" w:eastAsia="宋体" w:cs="宋体"/>
                <w:color w:val="auto"/>
                <w:highlight w:val="none"/>
              </w:rPr>
            </w:pPr>
          </w:p>
        </w:tc>
        <w:tc>
          <w:tcPr>
            <w:tcW w:w="1022" w:type="dxa"/>
            <w:vAlign w:val="top"/>
          </w:tcPr>
          <w:p>
            <w:pPr>
              <w:pStyle w:val="48"/>
              <w:bidi w:val="0"/>
              <w:rPr>
                <w:rFonts w:hint="eastAsia" w:ascii="宋体" w:hAnsi="宋体" w:eastAsia="宋体" w:cs="宋体"/>
                <w:color w:val="auto"/>
                <w:highlight w:val="none"/>
              </w:rPr>
            </w:pPr>
          </w:p>
        </w:tc>
        <w:tc>
          <w:tcPr>
            <w:tcW w:w="1232" w:type="dxa"/>
            <w:vAlign w:val="top"/>
          </w:tcPr>
          <w:p>
            <w:pPr>
              <w:pStyle w:val="48"/>
              <w:bidi w:val="0"/>
              <w:rPr>
                <w:rFonts w:hint="eastAsia" w:ascii="宋体" w:hAnsi="宋体" w:eastAsia="宋体" w:cs="宋体"/>
                <w:color w:val="auto"/>
                <w:highlight w:val="none"/>
              </w:rPr>
            </w:pPr>
          </w:p>
        </w:tc>
        <w:tc>
          <w:tcPr>
            <w:tcW w:w="1229" w:type="dxa"/>
            <w:vAlign w:val="top"/>
          </w:tcPr>
          <w:p>
            <w:pPr>
              <w:pStyle w:val="48"/>
              <w:bidi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8"/>
              <w:bidi w:val="0"/>
              <w:rPr>
                <w:rFonts w:hint="eastAsia" w:ascii="宋体" w:hAnsi="宋体" w:eastAsia="宋体" w:cs="宋体"/>
                <w:color w:val="auto"/>
                <w:highlight w:val="none"/>
              </w:rPr>
            </w:pPr>
          </w:p>
        </w:tc>
        <w:tc>
          <w:tcPr>
            <w:tcW w:w="923" w:type="dxa"/>
            <w:vAlign w:val="top"/>
          </w:tcPr>
          <w:p>
            <w:pPr>
              <w:pStyle w:val="48"/>
              <w:bidi w:val="0"/>
              <w:rPr>
                <w:rFonts w:hint="eastAsia" w:ascii="宋体" w:hAnsi="宋体" w:eastAsia="宋体" w:cs="宋体"/>
                <w:color w:val="auto"/>
                <w:highlight w:val="none"/>
              </w:rPr>
            </w:pPr>
          </w:p>
        </w:tc>
        <w:tc>
          <w:tcPr>
            <w:tcW w:w="921" w:type="dxa"/>
            <w:vAlign w:val="top"/>
          </w:tcPr>
          <w:p>
            <w:pPr>
              <w:pStyle w:val="48"/>
              <w:bidi w:val="0"/>
              <w:rPr>
                <w:rFonts w:hint="eastAsia" w:ascii="宋体" w:hAnsi="宋体" w:eastAsia="宋体" w:cs="宋体"/>
                <w:color w:val="auto"/>
                <w:highlight w:val="none"/>
              </w:rPr>
            </w:pPr>
          </w:p>
        </w:tc>
        <w:tc>
          <w:tcPr>
            <w:tcW w:w="923" w:type="dxa"/>
            <w:vAlign w:val="top"/>
          </w:tcPr>
          <w:p>
            <w:pPr>
              <w:pStyle w:val="48"/>
              <w:bidi w:val="0"/>
              <w:rPr>
                <w:rFonts w:hint="eastAsia" w:ascii="宋体" w:hAnsi="宋体" w:eastAsia="宋体" w:cs="宋体"/>
                <w:color w:val="auto"/>
                <w:highlight w:val="none"/>
              </w:rPr>
            </w:pPr>
          </w:p>
        </w:tc>
        <w:tc>
          <w:tcPr>
            <w:tcW w:w="922" w:type="dxa"/>
            <w:vAlign w:val="top"/>
          </w:tcPr>
          <w:p>
            <w:pPr>
              <w:pStyle w:val="48"/>
              <w:bidi w:val="0"/>
              <w:rPr>
                <w:rFonts w:hint="eastAsia" w:ascii="宋体" w:hAnsi="宋体" w:eastAsia="宋体" w:cs="宋体"/>
                <w:color w:val="auto"/>
                <w:highlight w:val="none"/>
              </w:rPr>
            </w:pPr>
          </w:p>
        </w:tc>
        <w:tc>
          <w:tcPr>
            <w:tcW w:w="1436" w:type="dxa"/>
            <w:vAlign w:val="top"/>
          </w:tcPr>
          <w:p>
            <w:pPr>
              <w:pStyle w:val="48"/>
              <w:bidi w:val="0"/>
              <w:rPr>
                <w:rFonts w:hint="eastAsia" w:ascii="宋体" w:hAnsi="宋体" w:eastAsia="宋体" w:cs="宋体"/>
                <w:color w:val="auto"/>
                <w:highlight w:val="none"/>
              </w:rPr>
            </w:pPr>
          </w:p>
        </w:tc>
        <w:tc>
          <w:tcPr>
            <w:tcW w:w="1022" w:type="dxa"/>
            <w:vAlign w:val="top"/>
          </w:tcPr>
          <w:p>
            <w:pPr>
              <w:pStyle w:val="48"/>
              <w:bidi w:val="0"/>
              <w:rPr>
                <w:rFonts w:hint="eastAsia" w:ascii="宋体" w:hAnsi="宋体" w:eastAsia="宋体" w:cs="宋体"/>
                <w:color w:val="auto"/>
                <w:highlight w:val="none"/>
              </w:rPr>
            </w:pPr>
          </w:p>
        </w:tc>
        <w:tc>
          <w:tcPr>
            <w:tcW w:w="1232" w:type="dxa"/>
            <w:vAlign w:val="top"/>
          </w:tcPr>
          <w:p>
            <w:pPr>
              <w:pStyle w:val="48"/>
              <w:bidi w:val="0"/>
              <w:rPr>
                <w:rFonts w:hint="eastAsia" w:ascii="宋体" w:hAnsi="宋体" w:eastAsia="宋体" w:cs="宋体"/>
                <w:color w:val="auto"/>
                <w:highlight w:val="none"/>
              </w:rPr>
            </w:pPr>
          </w:p>
        </w:tc>
        <w:tc>
          <w:tcPr>
            <w:tcW w:w="1229" w:type="dxa"/>
            <w:vAlign w:val="top"/>
          </w:tcPr>
          <w:p>
            <w:pPr>
              <w:pStyle w:val="48"/>
              <w:bidi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8"/>
              <w:bidi w:val="0"/>
              <w:rPr>
                <w:rFonts w:hint="eastAsia" w:ascii="宋体" w:hAnsi="宋体" w:eastAsia="宋体" w:cs="宋体"/>
                <w:color w:val="auto"/>
                <w:highlight w:val="none"/>
              </w:rPr>
            </w:pPr>
          </w:p>
        </w:tc>
        <w:tc>
          <w:tcPr>
            <w:tcW w:w="923" w:type="dxa"/>
            <w:vAlign w:val="top"/>
          </w:tcPr>
          <w:p>
            <w:pPr>
              <w:pStyle w:val="48"/>
              <w:bidi w:val="0"/>
              <w:rPr>
                <w:rFonts w:hint="eastAsia" w:ascii="宋体" w:hAnsi="宋体" w:eastAsia="宋体" w:cs="宋体"/>
                <w:color w:val="auto"/>
                <w:highlight w:val="none"/>
              </w:rPr>
            </w:pPr>
          </w:p>
        </w:tc>
        <w:tc>
          <w:tcPr>
            <w:tcW w:w="921" w:type="dxa"/>
            <w:vAlign w:val="top"/>
          </w:tcPr>
          <w:p>
            <w:pPr>
              <w:pStyle w:val="48"/>
              <w:bidi w:val="0"/>
              <w:rPr>
                <w:rFonts w:hint="eastAsia" w:ascii="宋体" w:hAnsi="宋体" w:eastAsia="宋体" w:cs="宋体"/>
                <w:color w:val="auto"/>
                <w:highlight w:val="none"/>
              </w:rPr>
            </w:pPr>
          </w:p>
        </w:tc>
        <w:tc>
          <w:tcPr>
            <w:tcW w:w="923" w:type="dxa"/>
            <w:vAlign w:val="top"/>
          </w:tcPr>
          <w:p>
            <w:pPr>
              <w:pStyle w:val="48"/>
              <w:bidi w:val="0"/>
              <w:rPr>
                <w:rFonts w:hint="eastAsia" w:ascii="宋体" w:hAnsi="宋体" w:eastAsia="宋体" w:cs="宋体"/>
                <w:color w:val="auto"/>
                <w:highlight w:val="none"/>
              </w:rPr>
            </w:pPr>
          </w:p>
        </w:tc>
        <w:tc>
          <w:tcPr>
            <w:tcW w:w="922" w:type="dxa"/>
            <w:vAlign w:val="top"/>
          </w:tcPr>
          <w:p>
            <w:pPr>
              <w:pStyle w:val="48"/>
              <w:bidi w:val="0"/>
              <w:rPr>
                <w:rFonts w:hint="eastAsia" w:ascii="宋体" w:hAnsi="宋体" w:eastAsia="宋体" w:cs="宋体"/>
                <w:color w:val="auto"/>
                <w:highlight w:val="none"/>
              </w:rPr>
            </w:pPr>
          </w:p>
        </w:tc>
        <w:tc>
          <w:tcPr>
            <w:tcW w:w="1436" w:type="dxa"/>
            <w:vAlign w:val="top"/>
          </w:tcPr>
          <w:p>
            <w:pPr>
              <w:pStyle w:val="48"/>
              <w:bidi w:val="0"/>
              <w:rPr>
                <w:rFonts w:hint="eastAsia" w:ascii="宋体" w:hAnsi="宋体" w:eastAsia="宋体" w:cs="宋体"/>
                <w:color w:val="auto"/>
                <w:highlight w:val="none"/>
              </w:rPr>
            </w:pPr>
          </w:p>
        </w:tc>
        <w:tc>
          <w:tcPr>
            <w:tcW w:w="1022" w:type="dxa"/>
            <w:vAlign w:val="top"/>
          </w:tcPr>
          <w:p>
            <w:pPr>
              <w:pStyle w:val="48"/>
              <w:bidi w:val="0"/>
              <w:rPr>
                <w:rFonts w:hint="eastAsia" w:ascii="宋体" w:hAnsi="宋体" w:eastAsia="宋体" w:cs="宋体"/>
                <w:color w:val="auto"/>
                <w:highlight w:val="none"/>
              </w:rPr>
            </w:pPr>
          </w:p>
        </w:tc>
        <w:tc>
          <w:tcPr>
            <w:tcW w:w="1232" w:type="dxa"/>
            <w:vAlign w:val="top"/>
          </w:tcPr>
          <w:p>
            <w:pPr>
              <w:pStyle w:val="48"/>
              <w:bidi w:val="0"/>
              <w:rPr>
                <w:rFonts w:hint="eastAsia" w:ascii="宋体" w:hAnsi="宋体" w:eastAsia="宋体" w:cs="宋体"/>
                <w:color w:val="auto"/>
                <w:highlight w:val="none"/>
              </w:rPr>
            </w:pPr>
          </w:p>
        </w:tc>
        <w:tc>
          <w:tcPr>
            <w:tcW w:w="1229" w:type="dxa"/>
            <w:vAlign w:val="top"/>
          </w:tcPr>
          <w:p>
            <w:pPr>
              <w:pStyle w:val="48"/>
              <w:bidi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8"/>
              <w:bidi w:val="0"/>
              <w:rPr>
                <w:rFonts w:hint="eastAsia" w:ascii="宋体" w:hAnsi="宋体" w:eastAsia="宋体" w:cs="宋体"/>
                <w:color w:val="auto"/>
                <w:highlight w:val="none"/>
              </w:rPr>
            </w:pPr>
          </w:p>
        </w:tc>
        <w:tc>
          <w:tcPr>
            <w:tcW w:w="923" w:type="dxa"/>
            <w:vAlign w:val="top"/>
          </w:tcPr>
          <w:p>
            <w:pPr>
              <w:pStyle w:val="48"/>
              <w:bidi w:val="0"/>
              <w:rPr>
                <w:rFonts w:hint="eastAsia" w:ascii="宋体" w:hAnsi="宋体" w:eastAsia="宋体" w:cs="宋体"/>
                <w:color w:val="auto"/>
                <w:highlight w:val="none"/>
              </w:rPr>
            </w:pPr>
          </w:p>
        </w:tc>
        <w:tc>
          <w:tcPr>
            <w:tcW w:w="921" w:type="dxa"/>
            <w:vAlign w:val="top"/>
          </w:tcPr>
          <w:p>
            <w:pPr>
              <w:pStyle w:val="48"/>
              <w:bidi w:val="0"/>
              <w:rPr>
                <w:rFonts w:hint="eastAsia" w:ascii="宋体" w:hAnsi="宋体" w:eastAsia="宋体" w:cs="宋体"/>
                <w:color w:val="auto"/>
                <w:highlight w:val="none"/>
              </w:rPr>
            </w:pPr>
          </w:p>
        </w:tc>
        <w:tc>
          <w:tcPr>
            <w:tcW w:w="923" w:type="dxa"/>
            <w:vAlign w:val="top"/>
          </w:tcPr>
          <w:p>
            <w:pPr>
              <w:pStyle w:val="48"/>
              <w:bidi w:val="0"/>
              <w:rPr>
                <w:rFonts w:hint="eastAsia" w:ascii="宋体" w:hAnsi="宋体" w:eastAsia="宋体" w:cs="宋体"/>
                <w:color w:val="auto"/>
                <w:highlight w:val="none"/>
              </w:rPr>
            </w:pPr>
          </w:p>
        </w:tc>
        <w:tc>
          <w:tcPr>
            <w:tcW w:w="922" w:type="dxa"/>
            <w:vAlign w:val="top"/>
          </w:tcPr>
          <w:p>
            <w:pPr>
              <w:pStyle w:val="48"/>
              <w:bidi w:val="0"/>
              <w:rPr>
                <w:rFonts w:hint="eastAsia" w:ascii="宋体" w:hAnsi="宋体" w:eastAsia="宋体" w:cs="宋体"/>
                <w:color w:val="auto"/>
                <w:highlight w:val="none"/>
              </w:rPr>
            </w:pPr>
          </w:p>
        </w:tc>
        <w:tc>
          <w:tcPr>
            <w:tcW w:w="1436" w:type="dxa"/>
            <w:vAlign w:val="top"/>
          </w:tcPr>
          <w:p>
            <w:pPr>
              <w:pStyle w:val="48"/>
              <w:bidi w:val="0"/>
              <w:rPr>
                <w:rFonts w:hint="eastAsia" w:ascii="宋体" w:hAnsi="宋体" w:eastAsia="宋体" w:cs="宋体"/>
                <w:color w:val="auto"/>
                <w:highlight w:val="none"/>
              </w:rPr>
            </w:pPr>
          </w:p>
        </w:tc>
        <w:tc>
          <w:tcPr>
            <w:tcW w:w="1022" w:type="dxa"/>
            <w:vAlign w:val="top"/>
          </w:tcPr>
          <w:p>
            <w:pPr>
              <w:pStyle w:val="48"/>
              <w:bidi w:val="0"/>
              <w:rPr>
                <w:rFonts w:hint="eastAsia" w:ascii="宋体" w:hAnsi="宋体" w:eastAsia="宋体" w:cs="宋体"/>
                <w:color w:val="auto"/>
                <w:highlight w:val="none"/>
              </w:rPr>
            </w:pPr>
          </w:p>
        </w:tc>
        <w:tc>
          <w:tcPr>
            <w:tcW w:w="1232" w:type="dxa"/>
            <w:vAlign w:val="top"/>
          </w:tcPr>
          <w:p>
            <w:pPr>
              <w:pStyle w:val="48"/>
              <w:bidi w:val="0"/>
              <w:rPr>
                <w:rFonts w:hint="eastAsia" w:ascii="宋体" w:hAnsi="宋体" w:eastAsia="宋体" w:cs="宋体"/>
                <w:color w:val="auto"/>
                <w:highlight w:val="none"/>
              </w:rPr>
            </w:pPr>
          </w:p>
        </w:tc>
        <w:tc>
          <w:tcPr>
            <w:tcW w:w="1229" w:type="dxa"/>
            <w:vAlign w:val="top"/>
          </w:tcPr>
          <w:p>
            <w:pPr>
              <w:pStyle w:val="48"/>
              <w:bidi w:val="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8"/>
              <w:bidi w:val="0"/>
              <w:rPr>
                <w:rFonts w:hint="eastAsia" w:ascii="宋体" w:hAnsi="宋体" w:eastAsia="宋体" w:cs="宋体"/>
                <w:color w:val="auto"/>
                <w:highlight w:val="none"/>
              </w:rPr>
            </w:pPr>
          </w:p>
        </w:tc>
        <w:tc>
          <w:tcPr>
            <w:tcW w:w="923" w:type="dxa"/>
            <w:vAlign w:val="top"/>
          </w:tcPr>
          <w:p>
            <w:pPr>
              <w:pStyle w:val="48"/>
              <w:bidi w:val="0"/>
              <w:rPr>
                <w:rFonts w:hint="eastAsia" w:ascii="宋体" w:hAnsi="宋体" w:eastAsia="宋体" w:cs="宋体"/>
                <w:color w:val="auto"/>
                <w:highlight w:val="none"/>
              </w:rPr>
            </w:pPr>
          </w:p>
        </w:tc>
        <w:tc>
          <w:tcPr>
            <w:tcW w:w="921" w:type="dxa"/>
            <w:vAlign w:val="top"/>
          </w:tcPr>
          <w:p>
            <w:pPr>
              <w:pStyle w:val="48"/>
              <w:bidi w:val="0"/>
              <w:rPr>
                <w:rFonts w:hint="eastAsia" w:ascii="宋体" w:hAnsi="宋体" w:eastAsia="宋体" w:cs="宋体"/>
                <w:color w:val="auto"/>
                <w:highlight w:val="none"/>
              </w:rPr>
            </w:pPr>
          </w:p>
        </w:tc>
        <w:tc>
          <w:tcPr>
            <w:tcW w:w="923" w:type="dxa"/>
            <w:vAlign w:val="top"/>
          </w:tcPr>
          <w:p>
            <w:pPr>
              <w:pStyle w:val="48"/>
              <w:bidi w:val="0"/>
              <w:rPr>
                <w:rFonts w:hint="eastAsia" w:ascii="宋体" w:hAnsi="宋体" w:eastAsia="宋体" w:cs="宋体"/>
                <w:color w:val="auto"/>
                <w:highlight w:val="none"/>
              </w:rPr>
            </w:pPr>
          </w:p>
        </w:tc>
        <w:tc>
          <w:tcPr>
            <w:tcW w:w="922" w:type="dxa"/>
            <w:vAlign w:val="top"/>
          </w:tcPr>
          <w:p>
            <w:pPr>
              <w:pStyle w:val="48"/>
              <w:bidi w:val="0"/>
              <w:rPr>
                <w:rFonts w:hint="eastAsia" w:ascii="宋体" w:hAnsi="宋体" w:eastAsia="宋体" w:cs="宋体"/>
                <w:color w:val="auto"/>
                <w:highlight w:val="none"/>
              </w:rPr>
            </w:pPr>
          </w:p>
        </w:tc>
        <w:tc>
          <w:tcPr>
            <w:tcW w:w="1436" w:type="dxa"/>
            <w:vAlign w:val="top"/>
          </w:tcPr>
          <w:p>
            <w:pPr>
              <w:pStyle w:val="48"/>
              <w:bidi w:val="0"/>
              <w:rPr>
                <w:rFonts w:hint="eastAsia" w:ascii="宋体" w:hAnsi="宋体" w:eastAsia="宋体" w:cs="宋体"/>
                <w:color w:val="auto"/>
                <w:highlight w:val="none"/>
              </w:rPr>
            </w:pPr>
          </w:p>
        </w:tc>
        <w:tc>
          <w:tcPr>
            <w:tcW w:w="1022" w:type="dxa"/>
            <w:vAlign w:val="top"/>
          </w:tcPr>
          <w:p>
            <w:pPr>
              <w:pStyle w:val="48"/>
              <w:bidi w:val="0"/>
              <w:rPr>
                <w:rFonts w:hint="eastAsia" w:ascii="宋体" w:hAnsi="宋体" w:eastAsia="宋体" w:cs="宋体"/>
                <w:color w:val="auto"/>
                <w:highlight w:val="none"/>
              </w:rPr>
            </w:pPr>
          </w:p>
        </w:tc>
        <w:tc>
          <w:tcPr>
            <w:tcW w:w="1232" w:type="dxa"/>
            <w:vAlign w:val="top"/>
          </w:tcPr>
          <w:p>
            <w:pPr>
              <w:pStyle w:val="48"/>
              <w:bidi w:val="0"/>
              <w:rPr>
                <w:rFonts w:hint="eastAsia" w:ascii="宋体" w:hAnsi="宋体" w:eastAsia="宋体" w:cs="宋体"/>
                <w:color w:val="auto"/>
                <w:highlight w:val="none"/>
              </w:rPr>
            </w:pPr>
          </w:p>
        </w:tc>
        <w:tc>
          <w:tcPr>
            <w:tcW w:w="1229" w:type="dxa"/>
            <w:vAlign w:val="top"/>
          </w:tcPr>
          <w:p>
            <w:pPr>
              <w:pStyle w:val="48"/>
              <w:bidi w:val="0"/>
              <w:rPr>
                <w:rFonts w:hint="eastAsia" w:ascii="宋体" w:hAnsi="宋体" w:eastAsia="宋体" w:cs="宋体"/>
                <w:color w:val="auto"/>
                <w:highlight w:val="none"/>
              </w:rPr>
            </w:pPr>
          </w:p>
        </w:tc>
      </w:tr>
    </w:tbl>
    <w:p>
      <w:pPr>
        <w:pStyle w:val="49"/>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①投标人</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自身</w:t>
      </w:r>
      <w:r>
        <w:rPr>
          <w:rFonts w:hint="eastAsia" w:ascii="宋体" w:hAnsi="宋体" w:eastAsia="宋体" w:cs="宋体"/>
          <w:color w:val="auto"/>
          <w:sz w:val="24"/>
          <w:szCs w:val="24"/>
          <w:highlight w:val="none"/>
        </w:rPr>
        <w:t>实际情况</w:t>
      </w:r>
      <w:r>
        <w:rPr>
          <w:rFonts w:hint="eastAsia" w:ascii="宋体" w:hAnsi="宋体" w:eastAsia="宋体" w:cs="宋体"/>
          <w:color w:val="auto"/>
          <w:sz w:val="24"/>
          <w:szCs w:val="24"/>
          <w:highlight w:val="none"/>
          <w:lang w:val="en-US" w:eastAsia="zh-CN"/>
        </w:rPr>
        <w:t>填写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对不涉及的内容可填写“/”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②本表所列项目管理成员信息将作为主管部门监督管理是否属于</w:t>
      </w:r>
      <w:r>
        <w:rPr>
          <w:rFonts w:hint="eastAsia" w:ascii="宋体" w:hAnsi="宋体" w:eastAsia="宋体" w:cs="宋体"/>
          <w:color w:val="auto"/>
          <w:sz w:val="24"/>
          <w:szCs w:val="24"/>
          <w:highlight w:val="none"/>
        </w:rPr>
        <w:t>串通投标</w:t>
      </w:r>
      <w:r>
        <w:rPr>
          <w:rFonts w:hint="eastAsia" w:ascii="宋体" w:hAnsi="宋体" w:eastAsia="宋体" w:cs="宋体"/>
          <w:color w:val="auto"/>
          <w:sz w:val="24"/>
          <w:szCs w:val="24"/>
          <w:highlight w:val="none"/>
          <w:lang w:val="en-US" w:eastAsia="zh-CN"/>
        </w:rPr>
        <w:t>的情形。</w:t>
      </w: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highlight w:val="none"/>
        </w:rPr>
        <w:t>(盖章)</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pPr>
        <w:pStyle w:val="25"/>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bookmarkEnd w:id="914"/>
    </w:p>
    <w:p>
      <w:pPr>
        <w:pStyle w:val="47"/>
        <w:numPr>
          <w:ilvl w:val="0"/>
          <w:numId w:val="21"/>
        </w:numPr>
        <w:bidi w:val="0"/>
        <w:ind w:left="0" w:leftChars="0" w:firstLine="0" w:firstLineChars="0"/>
        <w:rPr>
          <w:rFonts w:hint="eastAsia" w:ascii="宋体" w:hAnsi="宋体" w:eastAsia="宋体" w:cs="宋体"/>
          <w:color w:val="auto"/>
          <w:highlight w:val="none"/>
          <w:lang w:val="en-US" w:eastAsia="zh-CN"/>
        </w:rPr>
      </w:pPr>
      <w:bookmarkStart w:id="915" w:name="_Toc2450"/>
      <w:bookmarkStart w:id="916" w:name="_Toc8563"/>
      <w:bookmarkStart w:id="917" w:name="_Toc4415"/>
      <w:bookmarkStart w:id="918" w:name="_Toc122"/>
      <w:r>
        <w:rPr>
          <w:rFonts w:hint="eastAsia" w:ascii="宋体" w:hAnsi="宋体" w:eastAsia="宋体" w:cs="宋体"/>
          <w:color w:val="auto"/>
          <w:highlight w:val="none"/>
          <w:lang w:val="en-US" w:eastAsia="zh-CN"/>
        </w:rPr>
        <w:t>中小企业声明函(如涉及</w:t>
      </w:r>
      <w:bookmarkEnd w:id="915"/>
      <w:r>
        <w:rPr>
          <w:rFonts w:hint="eastAsia" w:ascii="宋体" w:hAnsi="宋体" w:eastAsia="宋体" w:cs="宋体"/>
          <w:color w:val="auto"/>
          <w:highlight w:val="none"/>
          <w:lang w:val="en-US" w:eastAsia="zh-CN"/>
        </w:rPr>
        <w:t>)</w:t>
      </w:r>
      <w:bookmarkEnd w:id="916"/>
      <w:bookmarkEnd w:id="917"/>
      <w:bookmarkEnd w:id="918"/>
    </w:p>
    <w:p>
      <w:pPr>
        <w:pStyle w:val="73"/>
        <w:shd w:val="clear" w:color="auto" w:fill="FFFFFF"/>
        <w:spacing w:line="360" w:lineRule="auto"/>
        <w:ind w:firstLine="480" w:firstLineChars="200"/>
        <w:textAlignment w:val="center"/>
        <w:rPr>
          <w:rFonts w:hint="default"/>
          <w:color w:val="auto"/>
          <w:highlight w:val="none"/>
        </w:rPr>
      </w:pPr>
      <w:bookmarkStart w:id="919" w:name="_Toc8055"/>
      <w:bookmarkStart w:id="920" w:name="_Toc413748654"/>
      <w:bookmarkStart w:id="921" w:name="_Toc419811733"/>
      <w:bookmarkStart w:id="922" w:name="_Toc417911732"/>
      <w:bookmarkStart w:id="923" w:name="_Toc387658050"/>
      <w:bookmarkStart w:id="924" w:name="_Toc387147344"/>
      <w:r>
        <w:rPr>
          <w:rFonts w:hint="default"/>
          <w:color w:val="auto"/>
          <w:highlight w:val="none"/>
        </w:rPr>
        <w:t>本公司（联合体）郑重声明，根据《政府采购促进中小企业发展管理办法》（财库</w:t>
      </w:r>
      <w:r>
        <w:rPr>
          <w:rFonts w:hint="eastAsia"/>
          <w:color w:val="auto"/>
          <w:highlight w:val="none"/>
        </w:rPr>
        <w:t>﹝</w:t>
      </w:r>
      <w:r>
        <w:rPr>
          <w:rFonts w:hint="default"/>
          <w:color w:val="auto"/>
          <w:highlight w:val="none"/>
        </w:rPr>
        <w:t>2020</w:t>
      </w:r>
      <w:r>
        <w:rPr>
          <w:rFonts w:hint="eastAsia"/>
          <w:color w:val="auto"/>
          <w:highlight w:val="none"/>
        </w:rPr>
        <w:t>﹞</w:t>
      </w:r>
      <w:r>
        <w:rPr>
          <w:rFonts w:hint="default"/>
          <w:color w:val="auto"/>
          <w:highlight w:val="none"/>
        </w:rPr>
        <w:t>46 号）的规定，本公司（联合体）参加</w:t>
      </w:r>
      <w:r>
        <w:rPr>
          <w:rFonts w:hint="default"/>
          <w:color w:val="auto"/>
          <w:highlight w:val="none"/>
          <w:u w:val="single"/>
        </w:rPr>
        <w:t>（</w:t>
      </w:r>
      <w:r>
        <w:rPr>
          <w:rFonts w:hint="default"/>
          <w:i/>
          <w:iCs/>
          <w:color w:val="auto"/>
          <w:highlight w:val="none"/>
          <w:u w:val="single"/>
        </w:rPr>
        <w:t>单位名称</w:t>
      </w:r>
      <w:r>
        <w:rPr>
          <w:rFonts w:hint="default"/>
          <w:color w:val="auto"/>
          <w:highlight w:val="none"/>
          <w:u w:val="single"/>
        </w:rPr>
        <w:t>）</w:t>
      </w:r>
      <w:r>
        <w:rPr>
          <w:rFonts w:hint="default"/>
          <w:color w:val="auto"/>
          <w:highlight w:val="none"/>
        </w:rPr>
        <w:t>的</w:t>
      </w:r>
      <w:r>
        <w:rPr>
          <w:rFonts w:hint="default"/>
          <w:color w:val="auto"/>
          <w:highlight w:val="none"/>
          <w:u w:val="single"/>
        </w:rPr>
        <w:t>（</w:t>
      </w:r>
      <w:r>
        <w:rPr>
          <w:rFonts w:hint="default"/>
          <w:i/>
          <w:iCs/>
          <w:color w:val="auto"/>
          <w:highlight w:val="none"/>
          <w:u w:val="single"/>
        </w:rPr>
        <w:t>项目名称</w:t>
      </w:r>
      <w:r>
        <w:rPr>
          <w:rFonts w:hint="default"/>
          <w:color w:val="auto"/>
          <w:highlight w:val="none"/>
          <w:u w:val="single"/>
        </w:rPr>
        <w:t>）</w:t>
      </w:r>
      <w:r>
        <w:rPr>
          <w:rFonts w:hint="default"/>
          <w:color w:val="auto"/>
          <w:highlight w:val="none"/>
        </w:rPr>
        <w:t>采购活动，提供的货物全部由符合政策要求的中小企业制造。相关企业</w:t>
      </w:r>
    </w:p>
    <w:p>
      <w:pPr>
        <w:pStyle w:val="73"/>
        <w:shd w:val="clear" w:color="auto" w:fill="FFFFFF"/>
        <w:spacing w:line="360" w:lineRule="auto"/>
        <w:ind w:firstLine="480" w:firstLineChars="200"/>
        <w:textAlignment w:val="center"/>
        <w:rPr>
          <w:rFonts w:hint="default"/>
          <w:color w:val="auto"/>
          <w:highlight w:val="none"/>
        </w:rPr>
      </w:pPr>
      <w:r>
        <w:rPr>
          <w:rFonts w:hint="default"/>
          <w:color w:val="auto"/>
          <w:highlight w:val="none"/>
        </w:rPr>
        <w:t>（含联合体中的中小企业、签订分包意向协议的中小企业） 的具体情况如下：</w:t>
      </w:r>
    </w:p>
    <w:p>
      <w:pPr>
        <w:pStyle w:val="73"/>
        <w:shd w:val="clear" w:color="auto" w:fill="FFFFFF"/>
        <w:spacing w:line="360" w:lineRule="auto"/>
        <w:ind w:firstLine="480" w:firstLineChars="200"/>
        <w:textAlignment w:val="center"/>
        <w:rPr>
          <w:rFonts w:hint="default"/>
          <w:color w:val="auto"/>
          <w:highlight w:val="none"/>
        </w:rPr>
      </w:pPr>
      <w:r>
        <w:rPr>
          <w:rFonts w:hint="default"/>
          <w:color w:val="auto"/>
          <w:highlight w:val="none"/>
        </w:rPr>
        <w:t xml:space="preserve"> </w:t>
      </w:r>
      <w:r>
        <w:rPr>
          <w:rFonts w:hint="eastAsia"/>
          <w:color w:val="auto"/>
          <w:highlight w:val="none"/>
          <w:lang w:val="en-US" w:eastAsia="zh-CN"/>
        </w:rPr>
        <w:t>1.</w:t>
      </w:r>
      <w:r>
        <w:rPr>
          <w:rFonts w:hint="default"/>
          <w:color w:val="auto"/>
          <w:highlight w:val="none"/>
          <w:u w:val="single"/>
        </w:rPr>
        <w:t>（</w:t>
      </w:r>
      <w:r>
        <w:rPr>
          <w:rFonts w:hint="default"/>
          <w:i/>
          <w:iCs/>
          <w:color w:val="auto"/>
          <w:highlight w:val="none"/>
          <w:u w:val="single"/>
        </w:rPr>
        <w:t>标的名称</w:t>
      </w:r>
      <w:r>
        <w:rPr>
          <w:rFonts w:hint="default"/>
          <w:color w:val="auto"/>
          <w:highlight w:val="none"/>
          <w:u w:val="single"/>
        </w:rPr>
        <w:t>）</w:t>
      </w:r>
      <w:r>
        <w:rPr>
          <w:rFonts w:hint="default"/>
          <w:color w:val="auto"/>
          <w:highlight w:val="none"/>
        </w:rPr>
        <w:t xml:space="preserve"> ，属于</w:t>
      </w:r>
      <w:r>
        <w:rPr>
          <w:rFonts w:hint="default"/>
          <w:color w:val="auto"/>
          <w:highlight w:val="none"/>
          <w:u w:val="single"/>
        </w:rPr>
        <w:t>（</w:t>
      </w:r>
      <w:r>
        <w:rPr>
          <w:rFonts w:hint="default"/>
          <w:i/>
          <w:iCs/>
          <w:color w:val="auto"/>
          <w:highlight w:val="none"/>
          <w:u w:val="single"/>
        </w:rPr>
        <w:t>采购文件中明确的所属行业</w:t>
      </w:r>
      <w:r>
        <w:rPr>
          <w:rFonts w:hint="default"/>
          <w:color w:val="auto"/>
          <w:highlight w:val="none"/>
          <w:u w:val="single"/>
        </w:rPr>
        <w:t>）行业</w:t>
      </w:r>
      <w:r>
        <w:rPr>
          <w:rFonts w:hint="default"/>
          <w:color w:val="auto"/>
          <w:highlight w:val="none"/>
        </w:rPr>
        <w:t>；制造商为</w:t>
      </w:r>
      <w:r>
        <w:rPr>
          <w:rFonts w:hint="default"/>
          <w:color w:val="auto"/>
          <w:highlight w:val="none"/>
          <w:u w:val="single"/>
        </w:rPr>
        <w:t>（</w:t>
      </w:r>
      <w:r>
        <w:rPr>
          <w:rFonts w:hint="default"/>
          <w:i/>
          <w:iCs/>
          <w:color w:val="auto"/>
          <w:highlight w:val="none"/>
          <w:u w:val="single"/>
        </w:rPr>
        <w:t>企业名称</w:t>
      </w:r>
      <w:r>
        <w:rPr>
          <w:rFonts w:hint="default"/>
          <w:color w:val="auto"/>
          <w:highlight w:val="none"/>
          <w:u w:val="single"/>
        </w:rPr>
        <w:t>）</w:t>
      </w:r>
      <w:r>
        <w:rPr>
          <w:rFonts w:hint="default"/>
          <w:color w:val="auto"/>
          <w:highlight w:val="none"/>
        </w:rPr>
        <w:t>，从业人员</w:t>
      </w:r>
      <w:r>
        <w:rPr>
          <w:rFonts w:hint="eastAsia"/>
          <w:color w:val="auto"/>
          <w:highlight w:val="none"/>
          <w:u w:val="single"/>
          <w:lang w:val="en-US" w:eastAsia="zh-CN"/>
        </w:rPr>
        <w:t xml:space="preserve">            </w:t>
      </w:r>
      <w:r>
        <w:rPr>
          <w:rFonts w:hint="default"/>
          <w:color w:val="auto"/>
          <w:highlight w:val="none"/>
        </w:rPr>
        <w:t>人，营业收入为</w:t>
      </w:r>
      <w:r>
        <w:rPr>
          <w:rFonts w:hint="eastAsia"/>
          <w:color w:val="auto"/>
          <w:highlight w:val="none"/>
          <w:u w:val="single"/>
          <w:lang w:val="en-US" w:eastAsia="zh-CN"/>
        </w:rPr>
        <w:t xml:space="preserve">    </w:t>
      </w:r>
      <w:r>
        <w:rPr>
          <w:rFonts w:hint="default"/>
          <w:color w:val="auto"/>
          <w:highlight w:val="none"/>
        </w:rPr>
        <w:t xml:space="preserve">万元，资产总额为 </w:t>
      </w:r>
      <w:r>
        <w:rPr>
          <w:rFonts w:hint="default"/>
          <w:color w:val="auto"/>
          <w:highlight w:val="none"/>
        </w:rPr>
        <w:tab/>
      </w:r>
      <w:r>
        <w:rPr>
          <w:rFonts w:hint="default"/>
          <w:color w:val="auto"/>
          <w:highlight w:val="none"/>
        </w:rPr>
        <w:t>万元，属于</w:t>
      </w:r>
      <w:r>
        <w:rPr>
          <w:rFonts w:hint="default"/>
          <w:color w:val="auto"/>
          <w:highlight w:val="none"/>
          <w:u w:val="single"/>
        </w:rPr>
        <w:t>（</w:t>
      </w:r>
      <w:r>
        <w:rPr>
          <w:rFonts w:hint="default"/>
          <w:i/>
          <w:iCs/>
          <w:color w:val="auto"/>
          <w:highlight w:val="none"/>
          <w:u w:val="single"/>
        </w:rPr>
        <w:t>中型企业、小型企业、微型企业</w:t>
      </w:r>
      <w:r>
        <w:rPr>
          <w:rFonts w:hint="default"/>
          <w:color w:val="auto"/>
          <w:highlight w:val="none"/>
          <w:u w:val="single"/>
        </w:rPr>
        <w:t>）</w:t>
      </w:r>
      <w:r>
        <w:rPr>
          <w:rFonts w:hint="default"/>
          <w:color w:val="auto"/>
          <w:highlight w:val="none"/>
        </w:rPr>
        <w:t>；</w:t>
      </w:r>
    </w:p>
    <w:p>
      <w:pPr>
        <w:pStyle w:val="73"/>
        <w:shd w:val="clear" w:color="auto" w:fill="FFFFFF"/>
        <w:spacing w:line="360" w:lineRule="auto"/>
        <w:ind w:firstLine="480" w:firstLineChars="200"/>
        <w:textAlignment w:val="center"/>
        <w:rPr>
          <w:rFonts w:hint="default"/>
          <w:color w:val="auto"/>
          <w:highlight w:val="none"/>
        </w:rPr>
      </w:pPr>
      <w:r>
        <w:rPr>
          <w:rFonts w:hint="default"/>
          <w:color w:val="auto"/>
          <w:highlight w:val="none"/>
        </w:rPr>
        <w:t xml:space="preserve"> </w:t>
      </w:r>
      <w:r>
        <w:rPr>
          <w:rFonts w:hint="eastAsia"/>
          <w:color w:val="auto"/>
          <w:highlight w:val="none"/>
          <w:lang w:val="en-US" w:eastAsia="zh-CN"/>
        </w:rPr>
        <w:t>2.</w:t>
      </w:r>
      <w:r>
        <w:rPr>
          <w:rFonts w:hint="default"/>
          <w:color w:val="auto"/>
          <w:highlight w:val="none"/>
          <w:u w:val="single"/>
        </w:rPr>
        <w:t>（</w:t>
      </w:r>
      <w:r>
        <w:rPr>
          <w:rFonts w:hint="default"/>
          <w:i/>
          <w:iCs/>
          <w:color w:val="auto"/>
          <w:highlight w:val="none"/>
          <w:u w:val="single"/>
        </w:rPr>
        <w:t>标的名称</w:t>
      </w:r>
      <w:r>
        <w:rPr>
          <w:rFonts w:hint="default"/>
          <w:color w:val="auto"/>
          <w:highlight w:val="none"/>
          <w:u w:val="single"/>
        </w:rPr>
        <w:t>）</w:t>
      </w:r>
      <w:r>
        <w:rPr>
          <w:rFonts w:hint="default"/>
          <w:color w:val="auto"/>
          <w:highlight w:val="none"/>
        </w:rPr>
        <w:t xml:space="preserve"> ，属于</w:t>
      </w:r>
      <w:r>
        <w:rPr>
          <w:rFonts w:hint="default"/>
          <w:color w:val="auto"/>
          <w:highlight w:val="none"/>
          <w:u w:val="single"/>
        </w:rPr>
        <w:t>（</w:t>
      </w:r>
      <w:r>
        <w:rPr>
          <w:rFonts w:hint="default"/>
          <w:i/>
          <w:iCs/>
          <w:color w:val="auto"/>
          <w:highlight w:val="none"/>
          <w:u w:val="single"/>
        </w:rPr>
        <w:t>采购文件中明确的所属行业</w:t>
      </w:r>
      <w:r>
        <w:rPr>
          <w:rFonts w:hint="default"/>
          <w:color w:val="auto"/>
          <w:highlight w:val="none"/>
          <w:u w:val="single"/>
        </w:rPr>
        <w:t>）行业</w:t>
      </w:r>
      <w:r>
        <w:rPr>
          <w:rFonts w:hint="default"/>
          <w:color w:val="auto"/>
          <w:highlight w:val="none"/>
        </w:rPr>
        <w:t>；制造商为</w:t>
      </w:r>
      <w:r>
        <w:rPr>
          <w:rFonts w:hint="default"/>
          <w:color w:val="auto"/>
          <w:highlight w:val="none"/>
          <w:u w:val="single"/>
        </w:rPr>
        <w:t>（</w:t>
      </w:r>
      <w:r>
        <w:rPr>
          <w:rFonts w:hint="default"/>
          <w:i/>
          <w:iCs/>
          <w:color w:val="auto"/>
          <w:highlight w:val="none"/>
          <w:u w:val="single"/>
        </w:rPr>
        <w:t>企业名称</w:t>
      </w:r>
      <w:r>
        <w:rPr>
          <w:rFonts w:hint="default"/>
          <w:color w:val="auto"/>
          <w:highlight w:val="none"/>
          <w:u w:val="single"/>
        </w:rPr>
        <w:t>）</w:t>
      </w:r>
      <w:r>
        <w:rPr>
          <w:rFonts w:hint="default"/>
          <w:color w:val="auto"/>
          <w:highlight w:val="none"/>
        </w:rPr>
        <w:t>，从业人员</w:t>
      </w:r>
      <w:r>
        <w:rPr>
          <w:rFonts w:hint="eastAsia"/>
          <w:color w:val="auto"/>
          <w:highlight w:val="none"/>
          <w:u w:val="single"/>
          <w:lang w:val="en-US" w:eastAsia="zh-CN"/>
        </w:rPr>
        <w:t xml:space="preserve">    </w:t>
      </w:r>
      <w:r>
        <w:rPr>
          <w:rFonts w:hint="default"/>
          <w:color w:val="auto"/>
          <w:highlight w:val="none"/>
        </w:rPr>
        <w:t>人，营业收入为</w:t>
      </w:r>
      <w:r>
        <w:rPr>
          <w:rFonts w:hint="eastAsia"/>
          <w:color w:val="auto"/>
          <w:highlight w:val="none"/>
          <w:u w:val="single"/>
          <w:lang w:val="en-US" w:eastAsia="zh-CN"/>
        </w:rPr>
        <w:t xml:space="preserve">    </w:t>
      </w:r>
      <w:r>
        <w:rPr>
          <w:rFonts w:hint="default"/>
          <w:color w:val="auto"/>
          <w:highlight w:val="none"/>
        </w:rPr>
        <w:tab/>
      </w:r>
      <w:r>
        <w:rPr>
          <w:rFonts w:hint="default"/>
          <w:color w:val="auto"/>
          <w:highlight w:val="none"/>
        </w:rPr>
        <w:t>万元，资产总额为</w:t>
      </w:r>
      <w:r>
        <w:rPr>
          <w:rFonts w:hint="eastAsia"/>
          <w:color w:val="auto"/>
          <w:highlight w:val="none"/>
          <w:u w:val="single"/>
          <w:lang w:val="en-US" w:eastAsia="zh-CN"/>
        </w:rPr>
        <w:t xml:space="preserve">    </w:t>
      </w:r>
      <w:r>
        <w:rPr>
          <w:rFonts w:hint="default"/>
          <w:color w:val="auto"/>
          <w:highlight w:val="none"/>
        </w:rPr>
        <w:tab/>
      </w:r>
      <w:r>
        <w:rPr>
          <w:rFonts w:hint="default"/>
          <w:color w:val="auto"/>
          <w:highlight w:val="none"/>
        </w:rPr>
        <w:t>万元，属于</w:t>
      </w:r>
      <w:r>
        <w:rPr>
          <w:rFonts w:hint="default"/>
          <w:color w:val="auto"/>
          <w:highlight w:val="none"/>
          <w:u w:val="single"/>
        </w:rPr>
        <w:t>（</w:t>
      </w:r>
      <w:r>
        <w:rPr>
          <w:rFonts w:hint="default"/>
          <w:i/>
          <w:iCs/>
          <w:color w:val="auto"/>
          <w:highlight w:val="none"/>
          <w:u w:val="single"/>
        </w:rPr>
        <w:t>中型企业、小型企业、微型企业</w:t>
      </w:r>
      <w:r>
        <w:rPr>
          <w:rFonts w:hint="default"/>
          <w:color w:val="auto"/>
          <w:highlight w:val="none"/>
          <w:u w:val="single"/>
        </w:rPr>
        <w:t>）</w:t>
      </w:r>
      <w:r>
        <w:rPr>
          <w:rFonts w:hint="default"/>
          <w:color w:val="auto"/>
          <w:highlight w:val="none"/>
        </w:rPr>
        <w:t>；</w:t>
      </w:r>
    </w:p>
    <w:p>
      <w:pPr>
        <w:pStyle w:val="73"/>
        <w:shd w:val="clear" w:color="auto" w:fill="FFFFFF"/>
        <w:spacing w:line="360" w:lineRule="auto"/>
        <w:ind w:firstLine="480" w:firstLineChars="200"/>
        <w:textAlignment w:val="center"/>
        <w:rPr>
          <w:rFonts w:hint="default"/>
          <w:color w:val="auto"/>
          <w:highlight w:val="none"/>
        </w:rPr>
      </w:pPr>
      <w:r>
        <w:rPr>
          <w:rFonts w:hint="default"/>
          <w:color w:val="auto"/>
          <w:highlight w:val="none"/>
        </w:rPr>
        <w:t>……</w:t>
      </w:r>
    </w:p>
    <w:p>
      <w:pPr>
        <w:pStyle w:val="73"/>
        <w:shd w:val="clear" w:color="auto" w:fill="FFFFFF"/>
        <w:spacing w:line="360" w:lineRule="auto"/>
        <w:ind w:firstLine="480" w:firstLineChars="200"/>
        <w:textAlignment w:val="center"/>
        <w:rPr>
          <w:rFonts w:hint="default"/>
          <w:color w:val="auto"/>
          <w:highlight w:val="none"/>
        </w:rPr>
      </w:pPr>
      <w:r>
        <w:rPr>
          <w:rFonts w:hint="default"/>
          <w:color w:val="auto"/>
          <w:highlight w:val="none"/>
        </w:rPr>
        <w:t>以上企业，不属于大企业的分支机构，不存在控股股东为大企业的情形，也不存在与大企业的负责人为同一人的情形。</w:t>
      </w:r>
    </w:p>
    <w:p>
      <w:pPr>
        <w:pStyle w:val="73"/>
        <w:shd w:val="clear" w:color="auto" w:fill="FFFFFF"/>
        <w:spacing w:line="360" w:lineRule="auto"/>
        <w:ind w:firstLine="480" w:firstLineChars="200"/>
        <w:textAlignment w:val="center"/>
        <w:rPr>
          <w:rFonts w:hint="default"/>
          <w:color w:val="auto"/>
          <w:highlight w:val="none"/>
        </w:rPr>
      </w:pPr>
      <w:r>
        <w:rPr>
          <w:rFonts w:hint="default"/>
          <w:color w:val="auto"/>
          <w:highlight w:val="none"/>
        </w:rPr>
        <w:t>本企业对上述声明内容的真实性负责。如有虚假，将依法承担相应责任。</w:t>
      </w:r>
    </w:p>
    <w:p>
      <w:pPr>
        <w:pStyle w:val="73"/>
        <w:shd w:val="clear" w:color="auto" w:fill="FFFFFF"/>
        <w:spacing w:line="360" w:lineRule="auto"/>
        <w:ind w:firstLine="480" w:firstLineChars="200"/>
        <w:textAlignment w:val="center"/>
        <w:rPr>
          <w:rFonts w:hint="default"/>
          <w:color w:val="auto"/>
          <w:highlight w:val="none"/>
        </w:rPr>
      </w:pPr>
    </w:p>
    <w:p>
      <w:pPr>
        <w:pStyle w:val="73"/>
        <w:shd w:val="clear" w:color="auto" w:fill="FFFFFF"/>
        <w:spacing w:line="360" w:lineRule="auto"/>
        <w:ind w:firstLine="480" w:firstLineChars="200"/>
        <w:textAlignment w:val="center"/>
        <w:rPr>
          <w:rFonts w:hint="default"/>
          <w:color w:val="auto"/>
          <w:highlight w:val="none"/>
        </w:rPr>
      </w:pPr>
    </w:p>
    <w:p>
      <w:pPr>
        <w:pStyle w:val="73"/>
        <w:shd w:val="clear" w:color="auto" w:fill="FFFFFF"/>
        <w:spacing w:line="360" w:lineRule="auto"/>
        <w:ind w:firstLine="480" w:firstLineChars="200"/>
        <w:jc w:val="center"/>
        <w:textAlignment w:val="center"/>
        <w:rPr>
          <w:rFonts w:hint="default"/>
          <w:color w:val="auto"/>
          <w:highlight w:val="none"/>
        </w:rPr>
      </w:pPr>
      <w:r>
        <w:rPr>
          <w:rFonts w:hint="eastAsia"/>
          <w:color w:val="auto"/>
          <w:highlight w:val="none"/>
          <w:lang w:val="en-US" w:eastAsia="zh-CN"/>
        </w:rPr>
        <w:t xml:space="preserve">            </w:t>
      </w:r>
      <w:r>
        <w:rPr>
          <w:rFonts w:hint="default"/>
          <w:color w:val="auto"/>
          <w:highlight w:val="none"/>
        </w:rPr>
        <w:t>企业名称（盖章）：</w:t>
      </w:r>
    </w:p>
    <w:p>
      <w:pPr>
        <w:pStyle w:val="73"/>
        <w:shd w:val="clear" w:color="auto" w:fill="FFFFFF"/>
        <w:spacing w:line="360" w:lineRule="auto"/>
        <w:ind w:firstLine="480" w:firstLineChars="200"/>
        <w:jc w:val="right"/>
        <w:textAlignment w:val="center"/>
        <w:rPr>
          <w:rFonts w:hint="default"/>
          <w:color w:val="auto"/>
          <w:highlight w:val="none"/>
        </w:rPr>
      </w:pPr>
    </w:p>
    <w:p>
      <w:pPr>
        <w:pStyle w:val="73"/>
        <w:shd w:val="clear" w:color="auto" w:fill="FFFFFF"/>
        <w:spacing w:line="360" w:lineRule="auto"/>
        <w:ind w:firstLine="480" w:firstLineChars="200"/>
        <w:jc w:val="center"/>
        <w:textAlignment w:val="center"/>
        <w:rPr>
          <w:color w:val="auto"/>
          <w:highlight w:val="none"/>
        </w:rPr>
      </w:pPr>
      <w:r>
        <w:rPr>
          <w:rFonts w:hint="default"/>
          <w:color w:val="auto"/>
          <w:highlight w:val="none"/>
        </w:rPr>
        <w:t>日期</w:t>
      </w:r>
      <w:r>
        <w:rPr>
          <w:color w:val="auto"/>
          <w:spacing w:val="24"/>
          <w:highlight w:val="none"/>
        </w:rPr>
        <w:t>：</w:t>
      </w:r>
    </w:p>
    <w:p>
      <w:pPr>
        <w:pStyle w:val="49"/>
        <w:ind w:firstLine="482"/>
        <w:rPr>
          <w:rFonts w:hint="default"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从业人员、营业收入、资产总额填报上一年度数据，无上一年度数据的新成立企业可不填报。</w:t>
      </w:r>
    </w:p>
    <w:p>
      <w:pPr>
        <w:pStyle w:val="49"/>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color w:val="auto"/>
          <w:highlight w:val="none"/>
        </w:rPr>
      </w:pPr>
    </w:p>
    <w:p>
      <w:pPr>
        <w:pStyle w:val="25"/>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47"/>
        <w:numPr>
          <w:ilvl w:val="0"/>
          <w:numId w:val="21"/>
        </w:numPr>
        <w:bidi w:val="0"/>
        <w:ind w:left="0" w:leftChars="0" w:firstLine="0" w:firstLineChars="0"/>
        <w:rPr>
          <w:rFonts w:hint="eastAsia" w:ascii="宋体" w:hAnsi="宋体" w:eastAsia="宋体" w:cs="宋体"/>
          <w:color w:val="auto"/>
          <w:highlight w:val="none"/>
          <w:lang w:val="en-US" w:eastAsia="zh-CN"/>
        </w:rPr>
      </w:pPr>
      <w:bookmarkStart w:id="925" w:name="_Toc11278"/>
      <w:bookmarkStart w:id="926" w:name="_Toc2965"/>
      <w:bookmarkStart w:id="927" w:name="_Toc30256"/>
      <w:bookmarkStart w:id="928" w:name="_Toc26771"/>
      <w:r>
        <w:rPr>
          <w:rFonts w:hint="eastAsia" w:ascii="宋体" w:hAnsi="宋体" w:eastAsia="宋体" w:cs="宋体"/>
          <w:color w:val="auto"/>
          <w:highlight w:val="none"/>
          <w:lang w:val="en-US" w:eastAsia="zh-CN"/>
        </w:rPr>
        <w:t>监狱企业相关证明材料</w:t>
      </w:r>
      <w:bookmarkEnd w:id="919"/>
      <w:r>
        <w:rPr>
          <w:rFonts w:hint="eastAsia" w:ascii="宋体" w:hAnsi="宋体" w:eastAsia="宋体" w:cs="宋体"/>
          <w:color w:val="auto"/>
          <w:highlight w:val="none"/>
          <w:lang w:val="en-US" w:eastAsia="zh-CN"/>
        </w:rPr>
        <w:t>(如涉及</w:t>
      </w:r>
      <w:bookmarkEnd w:id="925"/>
      <w:r>
        <w:rPr>
          <w:rFonts w:hint="eastAsia" w:ascii="宋体" w:hAnsi="宋体" w:eastAsia="宋体" w:cs="宋体"/>
          <w:color w:val="auto"/>
          <w:highlight w:val="none"/>
          <w:lang w:val="en-US" w:eastAsia="zh-CN"/>
        </w:rPr>
        <w:t>)</w:t>
      </w:r>
      <w:bookmarkEnd w:id="926"/>
      <w:bookmarkEnd w:id="927"/>
      <w:bookmarkEnd w:id="928"/>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rPr>
        <w:t>说明：</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①监狱企业参加政府采购活动时，应当提供由省级以上监狱管理局、戒毒管理局(含新疆生产建设兵团)出具的属于监狱企业的证明文件。</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如未提供监狱企业相关证明材料的，则其</w:t>
      </w:r>
      <w:r>
        <w:rPr>
          <w:rFonts w:hint="eastAsia" w:ascii="宋体" w:hAnsi="宋体" w:eastAsia="宋体" w:cs="宋体"/>
          <w:color w:val="auto"/>
          <w:highlight w:val="none"/>
          <w:lang w:val="en-US" w:eastAsia="zh-CN"/>
        </w:rPr>
        <w:t>评审</w:t>
      </w:r>
      <w:r>
        <w:rPr>
          <w:rFonts w:hint="eastAsia" w:ascii="宋体" w:hAnsi="宋体" w:eastAsia="宋体" w:cs="宋体"/>
          <w:color w:val="auto"/>
          <w:highlight w:val="none"/>
        </w:rPr>
        <w:t>中的监狱企业不能享受</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文件规定的价格扣除，但不影响</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文件的有效性。</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非监狱企业</w:t>
      </w:r>
      <w:r>
        <w:rPr>
          <w:rFonts w:hint="eastAsia" w:ascii="宋体" w:hAnsi="宋体" w:eastAsia="宋体" w:cs="宋体"/>
          <w:color w:val="auto"/>
          <w:highlight w:val="none"/>
          <w:lang w:val="en-US" w:eastAsia="zh-CN"/>
        </w:rPr>
        <w:t>无需提供证明材料</w:t>
      </w:r>
      <w:r>
        <w:rPr>
          <w:rFonts w:hint="eastAsia" w:ascii="宋体" w:hAnsi="宋体" w:eastAsia="宋体" w:cs="宋体"/>
          <w:color w:val="auto"/>
          <w:highlight w:val="none"/>
        </w:rPr>
        <w:t>。</w:t>
      </w:r>
    </w:p>
    <w:p>
      <w:pPr>
        <w:pStyle w:val="25"/>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47"/>
        <w:numPr>
          <w:ilvl w:val="0"/>
          <w:numId w:val="21"/>
        </w:numPr>
        <w:bidi w:val="0"/>
        <w:ind w:left="0" w:leftChars="0" w:firstLine="0" w:firstLineChars="0"/>
        <w:rPr>
          <w:rFonts w:hint="eastAsia" w:ascii="宋体" w:hAnsi="宋体" w:eastAsia="宋体" w:cs="宋体"/>
          <w:color w:val="auto"/>
          <w:highlight w:val="none"/>
          <w:lang w:val="en-US" w:eastAsia="zh-CN"/>
        </w:rPr>
      </w:pPr>
      <w:bookmarkStart w:id="929" w:name="_Toc7140"/>
      <w:bookmarkStart w:id="930" w:name="_Toc30301"/>
      <w:bookmarkStart w:id="931" w:name="_Toc20229"/>
      <w:bookmarkStart w:id="932" w:name="_Toc27384"/>
      <w:r>
        <w:rPr>
          <w:rFonts w:hint="eastAsia" w:ascii="宋体" w:hAnsi="宋体" w:eastAsia="宋体" w:cs="宋体"/>
          <w:color w:val="auto"/>
          <w:highlight w:val="none"/>
          <w:lang w:val="en-US" w:eastAsia="zh-CN"/>
        </w:rPr>
        <w:t>残疾人福利性单位声明函(如涉及</w:t>
      </w:r>
      <w:bookmarkEnd w:id="929"/>
      <w:r>
        <w:rPr>
          <w:rFonts w:hint="eastAsia" w:ascii="宋体" w:hAnsi="宋体" w:eastAsia="宋体" w:cs="宋体"/>
          <w:color w:val="auto"/>
          <w:highlight w:val="none"/>
          <w:lang w:val="en-US" w:eastAsia="zh-CN"/>
        </w:rPr>
        <w:t>)</w:t>
      </w:r>
      <w:bookmarkEnd w:id="930"/>
      <w:bookmarkEnd w:id="931"/>
      <w:bookmarkEnd w:id="932"/>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 民政部 中国残疾人联合会关于促进残疾人就业政府采购政策的通知》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财库〔2017〕141号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的规定，本单位为符合条件的残疾人福利性单位，且本单位参加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highlight w:val="none"/>
        </w:rPr>
        <w:t>项目采购活动提供本单位制造的货物</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或者提供其他残疾人福利性单位制造的货物</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不包括使用非残疾人福利性单位注册商标的货物</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pPr>
        <w:pStyle w:val="25"/>
        <w:bidi w:val="0"/>
        <w:rPr>
          <w:rFonts w:hint="eastAsia" w:ascii="宋体" w:hAnsi="宋体" w:eastAsia="宋体" w:cs="宋体"/>
          <w:color w:val="auto"/>
          <w:highlight w:val="none"/>
          <w:lang w:val="en-US" w:eastAsia="zh-CN"/>
        </w:rPr>
      </w:pP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pStyle w:val="25"/>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盖章</w:t>
      </w:r>
      <w:r>
        <w:rPr>
          <w:rFonts w:hint="eastAsia" w:ascii="宋体" w:hAnsi="宋体" w:eastAsia="宋体" w:cs="宋体"/>
          <w:color w:val="auto"/>
          <w:highlight w:val="none"/>
          <w:lang w:eastAsia="zh-CN"/>
        </w:rPr>
        <w:t>)</w:t>
      </w:r>
    </w:p>
    <w:p>
      <w:pPr>
        <w:pStyle w:val="25"/>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日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期：</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 xml:space="preserve">   </w:t>
      </w:r>
      <w:bookmarkEnd w:id="920"/>
      <w:bookmarkEnd w:id="921"/>
      <w:bookmarkEnd w:id="922"/>
      <w:bookmarkEnd w:id="923"/>
      <w:bookmarkEnd w:id="924"/>
    </w:p>
    <w:p>
      <w:pPr>
        <w:pStyle w:val="49"/>
        <w:bidi w:val="0"/>
        <w:rPr>
          <w:rFonts w:hint="eastAsia" w:ascii="宋体" w:hAnsi="宋体" w:eastAsia="宋体" w:cs="宋体"/>
          <w:color w:val="auto"/>
          <w:highlight w:val="none"/>
          <w:lang w:val="en-US" w:eastAsia="zh-CN"/>
        </w:rPr>
      </w:pPr>
    </w:p>
    <w:p>
      <w:pPr>
        <w:pStyle w:val="49"/>
        <w:bidi w:val="0"/>
        <w:rPr>
          <w:rFonts w:hint="eastAsia" w:ascii="宋体" w:hAnsi="宋体" w:eastAsia="宋体" w:cs="宋体"/>
          <w:color w:val="auto"/>
          <w:highlight w:val="none"/>
          <w:lang w:val="en-US" w:eastAsia="zh-CN"/>
        </w:rPr>
      </w:pP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说明：</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 1 \* GB3 \* MERGEFORMAT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rPr>
        <w:t>①</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rPr>
        <w:t>如未提供残疾人福利性单位声明函的，则其评审中的残疾人福利性单位不能享受招标文件规定的价格扣除</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非残疾人福利性单位，不需提供此声明函，</w:t>
      </w:r>
      <w:r>
        <w:rPr>
          <w:rFonts w:hint="eastAsia" w:ascii="宋体" w:hAnsi="宋体" w:eastAsia="宋体" w:cs="宋体"/>
          <w:color w:val="auto"/>
          <w:highlight w:val="none"/>
        </w:rPr>
        <w:t>不影响投标文件的有效性。</w:t>
      </w:r>
    </w:p>
    <w:p>
      <w:pPr>
        <w:pStyle w:val="4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 2 \* GB3 \* MERGEFORMAT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rPr>
        <w:t>②</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投标人参加政府采购活动时，提供虚假残疾人福利性单位声明函的，以提供虚假材料谋取中标处理。</w:t>
      </w:r>
    </w:p>
    <w:p>
      <w:pPr>
        <w:pStyle w:val="25"/>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ascii="宋体" w:hAnsi="宋体" w:eastAsia="宋体" w:cs="宋体"/>
          <w:color w:val="auto"/>
          <w:highlight w:val="none"/>
          <w:lang w:val="en-US" w:eastAsia="zh-CN"/>
        </w:rPr>
      </w:pPr>
    </w:p>
    <w:p>
      <w:pPr>
        <w:pStyle w:val="47"/>
        <w:numPr>
          <w:ilvl w:val="0"/>
          <w:numId w:val="21"/>
        </w:numPr>
        <w:bidi w:val="0"/>
        <w:ind w:left="0" w:leftChars="0" w:firstLine="0" w:firstLineChars="0"/>
        <w:rPr>
          <w:rFonts w:hint="eastAsia" w:ascii="宋体" w:hAnsi="宋体" w:eastAsia="宋体" w:cs="宋体"/>
          <w:color w:val="auto"/>
          <w:highlight w:val="none"/>
          <w:lang w:val="en-US" w:eastAsia="zh-CN"/>
        </w:rPr>
      </w:pPr>
      <w:bookmarkStart w:id="933" w:name="_Toc16092"/>
      <w:bookmarkStart w:id="934" w:name="_Toc21708"/>
      <w:bookmarkStart w:id="935" w:name="_Toc20002"/>
      <w:bookmarkStart w:id="936" w:name="_Toc881"/>
      <w:bookmarkStart w:id="937" w:name="_Toc18724"/>
      <w:r>
        <w:rPr>
          <w:rFonts w:hint="eastAsia" w:ascii="宋体" w:hAnsi="宋体" w:eastAsia="宋体" w:cs="宋体"/>
          <w:color w:val="auto"/>
          <w:highlight w:val="none"/>
          <w:lang w:val="en-US" w:eastAsia="zh-CN"/>
        </w:rPr>
        <w:t>项目实施方案</w:t>
      </w:r>
      <w:bookmarkEnd w:id="933"/>
      <w:bookmarkEnd w:id="934"/>
      <w:bookmarkEnd w:id="935"/>
    </w:p>
    <w:p>
      <w:pPr>
        <w:pStyle w:val="4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注：格式自拟。</w:t>
      </w:r>
    </w:p>
    <w:p>
      <w:pPr>
        <w:pStyle w:val="25"/>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47"/>
        <w:numPr>
          <w:ilvl w:val="0"/>
          <w:numId w:val="21"/>
        </w:numPr>
        <w:bidi w:val="0"/>
        <w:ind w:left="0" w:leftChars="0" w:firstLine="0" w:firstLineChars="0"/>
        <w:rPr>
          <w:rFonts w:hint="eastAsia" w:ascii="宋体" w:hAnsi="宋体" w:eastAsia="宋体" w:cs="宋体"/>
          <w:color w:val="auto"/>
          <w:highlight w:val="none"/>
          <w:lang w:val="en-US" w:eastAsia="zh-CN"/>
        </w:rPr>
      </w:pPr>
      <w:bookmarkStart w:id="938" w:name="_Toc32188"/>
      <w:bookmarkStart w:id="939" w:name="_Toc23779"/>
      <w:r>
        <w:rPr>
          <w:rFonts w:hint="eastAsia" w:ascii="宋体" w:hAnsi="宋体" w:eastAsia="宋体" w:cs="宋体"/>
          <w:color w:val="auto"/>
          <w:highlight w:val="none"/>
          <w:lang w:val="en-US" w:eastAsia="zh-CN"/>
        </w:rPr>
        <w:t>招标代理服务费承诺函</w:t>
      </w:r>
      <w:bookmarkEnd w:id="938"/>
      <w:bookmarkEnd w:id="939"/>
    </w:p>
    <w:p>
      <w:pPr>
        <w:pStyle w:val="25"/>
        <w:bidi w:val="0"/>
        <w:rPr>
          <w:rFonts w:hint="eastAsia" w:ascii="宋体" w:hAnsi="宋体" w:eastAsia="宋体" w:cs="宋体"/>
          <w:color w:val="auto"/>
          <w:highlight w:val="none"/>
        </w:rPr>
      </w:pPr>
      <w:r>
        <w:rPr>
          <w:rFonts w:hint="eastAsia" w:ascii="宋体" w:hAnsi="宋体" w:eastAsia="宋体" w:cs="宋体"/>
          <w:color w:val="auto"/>
          <w:highlight w:val="none"/>
        </w:rPr>
        <w:t>四川乾新招投标代理有限公司：</w:t>
      </w:r>
    </w:p>
    <w:p>
      <w:pPr>
        <w:pStyle w:val="29"/>
        <w:bidi w:val="0"/>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rPr>
        <w:t>我公司在贵公司代理的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)公开招标中若获中标，我们保证在收到中标通知后2个工作日内按</w:t>
      </w:r>
      <w:r>
        <w:rPr>
          <w:rFonts w:hint="eastAsia" w:ascii="宋体" w:hAnsi="宋体" w:eastAsia="宋体" w:cs="宋体"/>
          <w:color w:val="auto"/>
          <w:highlight w:val="none"/>
          <w:lang w:val="zh-CN"/>
        </w:rPr>
        <w:t>招标文件</w:t>
      </w:r>
      <w:r>
        <w:rPr>
          <w:rFonts w:hint="eastAsia" w:ascii="宋体" w:hAnsi="宋体" w:eastAsia="宋体" w:cs="宋体"/>
          <w:color w:val="auto"/>
          <w:highlight w:val="none"/>
        </w:rPr>
        <w:t>的规定，以支票、银行汇票、电汇、现金或经贵公司认可的一种方式，向贵公司即四川乾新招投标代理有限公司指定的银行帐号，按照</w:t>
      </w:r>
      <w:r>
        <w:rPr>
          <w:rFonts w:hint="eastAsia" w:ascii="宋体" w:hAnsi="宋体" w:eastAsia="宋体" w:cs="宋体"/>
          <w:color w:val="auto"/>
          <w:highlight w:val="none"/>
          <w:lang w:val="zh-CN"/>
        </w:rPr>
        <w:t>招标文件中</w:t>
      </w:r>
      <w:r>
        <w:rPr>
          <w:rFonts w:hint="eastAsia" w:ascii="宋体" w:hAnsi="宋体" w:eastAsia="宋体" w:cs="宋体"/>
          <w:color w:val="auto"/>
          <w:highlight w:val="none"/>
        </w:rPr>
        <w:t>招标代理服务费收取标准一次性支付招标代理服务费。</w:t>
      </w:r>
      <w:r>
        <w:rPr>
          <w:rFonts w:hint="eastAsia" w:ascii="宋体" w:hAnsi="宋体" w:eastAsia="宋体" w:cs="宋体"/>
          <w:b/>
          <w:bCs/>
          <w:color w:val="auto"/>
          <w:highlight w:val="none"/>
          <w:lang w:val="en-US" w:eastAsia="zh-CN"/>
        </w:rPr>
        <w:t>如因我公司自身原因造成取消中标资格或自愿放弃中标资格的，我司已交纳的招标代理服务费不予退还，由此造成的损失由我方自行承担。</w:t>
      </w:r>
    </w:p>
    <w:p>
      <w:pPr>
        <w:pStyle w:val="29"/>
        <w:bidi w:val="0"/>
        <w:rPr>
          <w:rFonts w:hint="eastAsia" w:ascii="宋体" w:hAnsi="宋体" w:eastAsia="宋体" w:cs="宋体"/>
          <w:color w:val="auto"/>
          <w:highlight w:val="none"/>
        </w:rPr>
      </w:pPr>
    </w:p>
    <w:p>
      <w:pPr>
        <w:pStyle w:val="29"/>
        <w:bidi w:val="0"/>
        <w:rPr>
          <w:rFonts w:hint="eastAsia" w:ascii="宋体" w:hAnsi="宋体" w:eastAsia="宋体" w:cs="宋体"/>
          <w:color w:val="auto"/>
          <w:highlight w:val="none"/>
        </w:rPr>
      </w:pP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特此承诺。</w:t>
      </w: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w:t>
      </w:r>
      <w:r>
        <w:rPr>
          <w:rFonts w:hint="eastAsia" w:ascii="宋体" w:hAnsi="宋体" w:eastAsia="宋体" w:cs="宋体"/>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法定</w:t>
      </w:r>
      <w:r>
        <w:rPr>
          <w:rFonts w:hint="eastAsia" w:ascii="宋体" w:hAnsi="宋体" w:eastAsia="宋体" w:cs="宋体"/>
          <w:color w:val="auto"/>
          <w:sz w:val="24"/>
          <w:highlight w:val="none"/>
          <w:lang w:eastAsia="zh-CN"/>
        </w:rPr>
        <w:t>代表人</w:t>
      </w:r>
      <w:r>
        <w:rPr>
          <w:rFonts w:hint="eastAsia" w:ascii="宋体" w:hAnsi="宋体" w:eastAsia="宋体" w:cs="宋体"/>
          <w:color w:val="auto"/>
          <w:highlight w:val="none"/>
          <w:lang w:eastAsia="zh-CN"/>
        </w:rPr>
        <w:t>/单位负责人或授权代表</w:t>
      </w:r>
      <w:r>
        <w:rPr>
          <w:rFonts w:hint="eastAsia" w:ascii="宋体" w:hAnsi="宋体" w:eastAsia="宋体" w:cs="宋体"/>
          <w:color w:val="auto"/>
          <w:highlight w:val="none"/>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承诺日期：</w:t>
      </w:r>
      <w:r>
        <w:rPr>
          <w:rFonts w:hint="eastAsia" w:ascii="宋体" w:hAnsi="宋体" w:eastAsia="宋体" w:cs="宋体"/>
          <w:bCs/>
          <w:color w:val="auto"/>
          <w:sz w:val="24"/>
          <w:highlight w:val="none"/>
          <w:u w:val="single"/>
        </w:rPr>
        <w:t xml:space="preserve">                </w:t>
      </w:r>
    </w:p>
    <w:p>
      <w:pPr>
        <w:pStyle w:val="25"/>
        <w:keepNext w:val="0"/>
        <w:keepLines w:val="0"/>
        <w:pageBreakBefore w:val="0"/>
        <w:widowControl w:val="0"/>
        <w:kinsoku/>
        <w:overflowPunct/>
        <w:autoSpaceDE/>
        <w:autoSpaceDN/>
        <w:bidi w:val="0"/>
        <w:adjustRightInd w:val="0"/>
        <w:snapToGrid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25"/>
        <w:bidi w:val="0"/>
        <w:rPr>
          <w:rFonts w:hint="eastAsia" w:ascii="宋体" w:hAnsi="宋体" w:eastAsia="宋体" w:cs="宋体"/>
          <w:color w:val="auto"/>
          <w:highlight w:val="none"/>
        </w:rPr>
      </w:pPr>
    </w:p>
    <w:p>
      <w:pPr>
        <w:pStyle w:val="25"/>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936"/>
    <w:bookmarkEnd w:id="937"/>
    <w:p>
      <w:pPr>
        <w:pStyle w:val="24"/>
        <w:numPr>
          <w:ilvl w:val="0"/>
          <w:numId w:val="11"/>
        </w:numPr>
        <w:bidi w:val="0"/>
        <w:rPr>
          <w:rFonts w:hint="eastAsia" w:ascii="宋体" w:hAnsi="宋体" w:eastAsia="宋体" w:cs="宋体"/>
          <w:b/>
          <w:color w:val="auto"/>
          <w:w w:val="95"/>
          <w:highlight w:val="none"/>
          <w:lang w:val="en-US" w:eastAsia="zh-CN"/>
        </w:rPr>
      </w:pPr>
      <w:bookmarkStart w:id="940" w:name="_Toc6987"/>
      <w:bookmarkStart w:id="941" w:name="_Toc1941"/>
      <w:bookmarkStart w:id="942" w:name="_Toc23987"/>
      <w:bookmarkStart w:id="943" w:name="_Toc17786"/>
      <w:bookmarkStart w:id="944" w:name="_Toc10576"/>
      <w:bookmarkStart w:id="945" w:name="_Toc24042"/>
      <w:bookmarkStart w:id="946" w:name="_Toc8502"/>
      <w:r>
        <w:rPr>
          <w:rFonts w:hint="eastAsia" w:ascii="宋体" w:hAnsi="宋体" w:eastAsia="宋体" w:cs="宋体"/>
          <w:b/>
          <w:color w:val="auto"/>
          <w:w w:val="95"/>
          <w:highlight w:val="none"/>
          <w:lang w:val="en-US" w:eastAsia="zh-CN"/>
        </w:rPr>
        <w:t>投标人和投标产品的资格、资质性</w:t>
      </w:r>
      <w:bookmarkStart w:id="947" w:name="_Toc307501136"/>
      <w:bookmarkStart w:id="948" w:name="_Toc17884"/>
      <w:bookmarkStart w:id="949" w:name="_Toc319439931"/>
      <w:bookmarkStart w:id="950" w:name="_Toc327196317"/>
      <w:bookmarkStart w:id="951" w:name="_Toc21759"/>
      <w:bookmarkStart w:id="952" w:name="_Toc307564882"/>
      <w:r>
        <w:rPr>
          <w:rFonts w:hint="eastAsia" w:ascii="宋体" w:hAnsi="宋体" w:eastAsia="宋体" w:cs="宋体"/>
          <w:b/>
          <w:color w:val="auto"/>
          <w:w w:val="95"/>
          <w:highlight w:val="none"/>
          <w:lang w:val="en-US" w:eastAsia="zh-CN"/>
        </w:rPr>
        <w:t>及其他类似效力要求</w:t>
      </w:r>
      <w:bookmarkEnd w:id="940"/>
      <w:bookmarkEnd w:id="941"/>
      <w:bookmarkEnd w:id="942"/>
      <w:bookmarkEnd w:id="943"/>
      <w:bookmarkEnd w:id="947"/>
      <w:bookmarkEnd w:id="948"/>
      <w:bookmarkEnd w:id="949"/>
      <w:bookmarkEnd w:id="950"/>
      <w:bookmarkEnd w:id="951"/>
      <w:bookmarkEnd w:id="952"/>
    </w:p>
    <w:p>
      <w:pPr>
        <w:pStyle w:val="26"/>
        <w:numPr>
          <w:ilvl w:val="1"/>
          <w:numId w:val="11"/>
        </w:numPr>
        <w:bidi w:val="0"/>
        <w:rPr>
          <w:rFonts w:hint="eastAsia" w:ascii="宋体" w:hAnsi="宋体" w:eastAsia="宋体" w:cs="宋体"/>
          <w:color w:val="auto"/>
          <w:highlight w:val="none"/>
          <w:lang w:val="zh-CN"/>
        </w:rPr>
      </w:pPr>
      <w:bookmarkStart w:id="953" w:name="_Toc30456"/>
      <w:bookmarkStart w:id="954" w:name="_Toc13119"/>
      <w:r>
        <w:rPr>
          <w:rFonts w:hint="eastAsia" w:ascii="宋体" w:hAnsi="宋体" w:eastAsia="宋体" w:cs="宋体"/>
          <w:color w:val="auto"/>
          <w:highlight w:val="none"/>
        </w:rPr>
        <w:t>投标人资格、资质性及其他类似效力要求</w:t>
      </w:r>
      <w:bookmarkEnd w:id="944"/>
      <w:bookmarkEnd w:id="945"/>
      <w:bookmarkEnd w:id="946"/>
      <w:bookmarkEnd w:id="953"/>
      <w:bookmarkEnd w:id="954"/>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zh-CN"/>
        </w:rPr>
      </w:pPr>
      <w:bookmarkStart w:id="955" w:name="_Toc18335"/>
      <w:bookmarkStart w:id="956" w:name="_Toc14656"/>
      <w:bookmarkStart w:id="957" w:name="_Toc4824"/>
      <w:bookmarkStart w:id="958" w:name="_Toc5268"/>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lang w:val="zh-CN"/>
        </w:rPr>
        <w:t>符合《中华人民共和国政府采购法》第二十二条规定的条件：</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具有独立承担</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"http://www.lawtime.cn/info/minfa/mszeren/" \t "_blank"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民事责任</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的能力；</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具有良好的商业信誉和健全的财务会计制度；</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具有履行合同所必需的设备和专业技术能力；</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4.有依法缴纳税收和</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"http://www.lawtime.cn/info/laodong/shehuibaozhang/" \t "_blank"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社会保障</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资金的良好记录；</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5.参加政府采购活动前三年内，在经营活动中没有重大违法记录；</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6.法律、</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"http://www.lawtime.cn/info/sifakaoshi/xingzhengfa/" \t "_blank"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行政法</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规规定的其他条件；</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lang w:val="zh-CN"/>
        </w:rPr>
        <w:t>本项目的特定资格要求：</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sz w:val="24"/>
          <w:highlight w:val="none"/>
          <w:lang w:val="en-US" w:eastAsia="zh-CN"/>
        </w:rPr>
        <w:t>具有国家行政主管部门颁发的《中华人民共和国出版物经营许可证》；</w:t>
      </w:r>
    </w:p>
    <w:p>
      <w:pPr>
        <w:pStyle w:val="25"/>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2.本项目不接受联合体投标。</w:t>
      </w:r>
    </w:p>
    <w:p>
      <w:pPr>
        <w:pStyle w:val="26"/>
        <w:numPr>
          <w:ilvl w:val="1"/>
          <w:numId w:val="11"/>
        </w:numPr>
        <w:bidi w:val="0"/>
        <w:rPr>
          <w:rFonts w:hint="eastAsia" w:ascii="宋体" w:hAnsi="宋体" w:eastAsia="宋体" w:cs="宋体"/>
          <w:color w:val="auto"/>
          <w:highlight w:val="none"/>
        </w:rPr>
      </w:pPr>
      <w:bookmarkStart w:id="959" w:name="_Toc11342"/>
      <w:r>
        <w:rPr>
          <w:rFonts w:hint="eastAsia" w:ascii="宋体" w:hAnsi="宋体" w:eastAsia="宋体" w:cs="宋体"/>
          <w:color w:val="auto"/>
          <w:highlight w:val="none"/>
        </w:rPr>
        <w:t>投标产品的资格、资质性及其他类似效力要求</w:t>
      </w:r>
      <w:bookmarkEnd w:id="955"/>
      <w:bookmarkEnd w:id="956"/>
      <w:bookmarkEnd w:id="957"/>
      <w:bookmarkEnd w:id="958"/>
      <w:bookmarkEnd w:id="959"/>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p>
      <w:pPr>
        <w:pStyle w:val="26"/>
        <w:numPr>
          <w:ilvl w:val="1"/>
          <w:numId w:val="11"/>
        </w:numPr>
        <w:bidi w:val="0"/>
        <w:rPr>
          <w:rFonts w:hint="eastAsia" w:ascii="宋体" w:hAnsi="宋体" w:eastAsia="宋体" w:cs="宋体"/>
          <w:color w:val="auto"/>
          <w:highlight w:val="none"/>
          <w:lang w:val="en-US" w:eastAsia="zh-CN"/>
        </w:rPr>
      </w:pPr>
      <w:bookmarkStart w:id="960" w:name="_Toc3740"/>
      <w:bookmarkStart w:id="961" w:name="_Toc3853"/>
      <w:r>
        <w:rPr>
          <w:rFonts w:hint="eastAsia" w:ascii="宋体" w:hAnsi="宋体" w:eastAsia="宋体" w:cs="宋体"/>
          <w:color w:val="auto"/>
          <w:highlight w:val="none"/>
          <w:lang w:val="en-US" w:eastAsia="zh-CN"/>
        </w:rPr>
        <w:t>其他类似效力要求</w:t>
      </w:r>
      <w:bookmarkEnd w:id="960"/>
      <w:bookmarkEnd w:id="961"/>
    </w:p>
    <w:p>
      <w:pPr>
        <w:pStyle w:val="37"/>
        <w:numPr>
          <w:ilvl w:val="1"/>
          <w:numId w:val="24"/>
        </w:numPr>
        <w:bidi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投标供应商单位及其现任法定代表人、主要负责人不得具有行贿犯罪记录；</w:t>
      </w:r>
    </w:p>
    <w:p>
      <w:pPr>
        <w:pStyle w:val="37"/>
        <w:numPr>
          <w:ilvl w:val="1"/>
          <w:numId w:val="24"/>
        </w:numPr>
        <w:bidi w:val="0"/>
        <w:rPr>
          <w:rFonts w:hint="eastAsia" w:ascii="宋体" w:hAnsi="宋体" w:eastAsia="宋体" w:cs="宋体"/>
          <w:color w:val="auto"/>
          <w:highlight w:val="none"/>
        </w:rPr>
      </w:pPr>
      <w:r>
        <w:rPr>
          <w:rFonts w:hint="eastAsia" w:ascii="宋体" w:hAnsi="宋体" w:eastAsia="宋体" w:cs="宋体"/>
          <w:color w:val="auto"/>
          <w:highlight w:val="none"/>
          <w:lang w:val="zh-CN"/>
        </w:rPr>
        <w:t>供应商不得为“信用中国”网站</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zh-CN"/>
        </w:rPr>
        <w:t>www.creditchina.gov.cn</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zh-CN"/>
        </w:rPr>
        <w:t>中列入失信被执行人和重大税收违法案件当事人名单的供应商，不得为</w:t>
      </w:r>
      <w:r>
        <w:rPr>
          <w:rFonts w:hint="eastAsia" w:ascii="宋体" w:hAnsi="宋体" w:eastAsia="宋体" w:cs="宋体"/>
          <w:color w:val="auto"/>
          <w:highlight w:val="none"/>
          <w:lang w:val="zh-CN" w:eastAsia="zh-CN"/>
        </w:rPr>
        <w:t>“中国政府采购网”(</w:t>
      </w:r>
      <w:r>
        <w:rPr>
          <w:rFonts w:hint="eastAsia" w:ascii="宋体" w:hAnsi="宋体" w:eastAsia="宋体" w:cs="宋体"/>
          <w:color w:val="auto"/>
          <w:highlight w:val="none"/>
          <w:lang w:val="zh-CN"/>
        </w:rPr>
        <w:t>www.ccgp.gov.cn</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zh-CN"/>
        </w:rPr>
        <w:t>政府采购严重违法失信行为记录名单中被财政部门禁止参加政府采购活动的供应商</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zh-CN"/>
        </w:rPr>
        <w:t>处罚决定规定的时间和地域范围内</w:t>
      </w:r>
      <w:r>
        <w:rPr>
          <w:rFonts w:hint="eastAsia" w:ascii="宋体" w:hAnsi="宋体" w:eastAsia="宋体" w:cs="宋体"/>
          <w:color w:val="auto"/>
          <w:highlight w:val="none"/>
          <w:lang w:val="zh-CN" w:eastAsia="zh-CN"/>
        </w:rPr>
        <w:t>)；</w:t>
      </w:r>
    </w:p>
    <w:p>
      <w:pPr>
        <w:pStyle w:val="37"/>
        <w:numPr>
          <w:ilvl w:val="1"/>
          <w:numId w:val="24"/>
        </w:numPr>
        <w:bidi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投标人代表不是法定代表人</w:t>
      </w:r>
      <w:r>
        <w:rPr>
          <w:rFonts w:hint="eastAsia" w:ascii="宋体" w:hAnsi="宋体" w:eastAsia="宋体" w:cs="宋体"/>
          <w:color w:val="auto"/>
          <w:highlight w:val="none"/>
          <w:lang w:val="en-US" w:eastAsia="zh-CN"/>
        </w:rPr>
        <w:t>/单位负责人</w:t>
      </w:r>
      <w:r>
        <w:rPr>
          <w:rFonts w:hint="eastAsia" w:ascii="宋体" w:hAnsi="宋体" w:eastAsia="宋体" w:cs="宋体"/>
          <w:color w:val="auto"/>
          <w:highlight w:val="none"/>
          <w:lang w:val="zh-CN"/>
        </w:rPr>
        <w:t>时提供针对本次投标的法定代表人</w:t>
      </w:r>
      <w:r>
        <w:rPr>
          <w:rFonts w:hint="eastAsia" w:ascii="宋体" w:hAnsi="宋体" w:eastAsia="宋体" w:cs="宋体"/>
          <w:color w:val="auto"/>
          <w:highlight w:val="none"/>
          <w:lang w:val="en-US" w:eastAsia="zh-CN"/>
        </w:rPr>
        <w:t>/单位负责人</w:t>
      </w:r>
      <w:r>
        <w:rPr>
          <w:rFonts w:hint="eastAsia" w:ascii="宋体" w:hAnsi="宋体" w:eastAsia="宋体" w:cs="宋体"/>
          <w:color w:val="auto"/>
          <w:highlight w:val="none"/>
          <w:lang w:val="zh-CN"/>
        </w:rPr>
        <w:t>授权书原件；</w:t>
      </w:r>
    </w:p>
    <w:p>
      <w:pPr>
        <w:pStyle w:val="37"/>
        <w:numPr>
          <w:ilvl w:val="1"/>
          <w:numId w:val="24"/>
        </w:numPr>
        <w:bidi w:val="0"/>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投标人代表是法定</w:t>
      </w:r>
      <w:r>
        <w:rPr>
          <w:rFonts w:hint="eastAsia" w:ascii="宋体" w:hAnsi="宋体" w:eastAsia="宋体" w:cs="宋体"/>
          <w:color w:val="auto"/>
          <w:highlight w:val="none"/>
          <w:lang w:val="zh-CN"/>
        </w:rPr>
        <w:t>代表人</w:t>
      </w:r>
      <w:r>
        <w:rPr>
          <w:rFonts w:hint="eastAsia" w:ascii="宋体" w:hAnsi="宋体" w:eastAsia="宋体" w:cs="宋体"/>
          <w:color w:val="auto"/>
          <w:highlight w:val="none"/>
          <w:lang w:val="en-US" w:eastAsia="zh-CN"/>
        </w:rPr>
        <w:t>/单位负责人</w:t>
      </w:r>
      <w:r>
        <w:rPr>
          <w:rFonts w:hint="eastAsia" w:ascii="宋体" w:hAnsi="宋体" w:eastAsia="宋体" w:cs="宋体"/>
          <w:color w:val="auto"/>
          <w:highlight w:val="none"/>
          <w:lang w:val="zh-CN"/>
        </w:rPr>
        <w:t>时，</w:t>
      </w:r>
      <w:r>
        <w:rPr>
          <w:rFonts w:hint="eastAsia" w:ascii="宋体" w:hAnsi="宋体" w:eastAsia="宋体" w:cs="宋体"/>
          <w:color w:val="auto"/>
          <w:highlight w:val="none"/>
          <w:lang w:val="en-US" w:eastAsia="zh-CN"/>
        </w:rPr>
        <w:t>提供法定代表人/单位负责人证明书原件。</w:t>
      </w:r>
    </w:p>
    <w:p>
      <w:pPr>
        <w:pStyle w:val="29"/>
        <w:bidi w:val="0"/>
        <w:rPr>
          <w:rFonts w:hint="eastAsia" w:ascii="宋体" w:hAnsi="宋体" w:eastAsia="宋体" w:cs="宋体"/>
          <w:b/>
          <w:bCs/>
          <w:color w:val="auto"/>
          <w:highlight w:val="none"/>
        </w:rPr>
      </w:pPr>
      <w:bookmarkStart w:id="962" w:name="_Toc24888"/>
      <w:r>
        <w:rPr>
          <w:rFonts w:hint="eastAsia" w:ascii="宋体" w:hAnsi="宋体" w:eastAsia="宋体" w:cs="宋体"/>
          <w:b/>
          <w:bCs/>
          <w:color w:val="auto"/>
          <w:highlight w:val="none"/>
        </w:rPr>
        <w:t>注：供应商在前三年政府采购合同履约过程中及其他经营活动履约过程中未依法履约被有关部门处理的，本项目不认定其具有良好的商业信誉。若虚假响应，取消中标资格。</w:t>
      </w:r>
    </w:p>
    <w:p>
      <w:pPr>
        <w:pStyle w:val="29"/>
        <w:bidi w:val="0"/>
        <w:rPr>
          <w:rFonts w:hint="eastAsia" w:ascii="宋体" w:hAnsi="宋体" w:eastAsia="宋体" w:cs="宋体"/>
          <w:b/>
          <w:bCs/>
          <w:color w:val="auto"/>
          <w:highlight w:val="none"/>
        </w:rPr>
      </w:pPr>
      <w:r>
        <w:rPr>
          <w:rFonts w:hint="eastAsia" w:ascii="宋体" w:hAnsi="宋体" w:eastAsia="宋体" w:cs="宋体"/>
          <w:b/>
          <w:bCs/>
          <w:color w:val="auto"/>
          <w:highlight w:val="none"/>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rPr>
        <w:t>重大违法记录中的较大数额罚款的具体金额标准</w:t>
      </w:r>
      <w:r>
        <w:rPr>
          <w:rFonts w:hint="eastAsia" w:ascii="宋体" w:hAnsi="宋体" w:eastAsia="宋体" w:cs="宋体"/>
          <w:color w:val="auto"/>
          <w:highlight w:val="none"/>
          <w:lang w:val="en-US" w:eastAsia="zh-CN"/>
        </w:rPr>
        <w:t>及范围</w:t>
      </w:r>
      <w:r>
        <w:rPr>
          <w:rFonts w:hint="eastAsia" w:ascii="宋体" w:hAnsi="宋体" w:eastAsia="宋体" w:cs="宋体"/>
          <w:color w:val="auto"/>
          <w:highlight w:val="none"/>
        </w:rPr>
        <w:t>是：若采购项目所属行业行政主管部门对较大数额罚款金额标准有明文规定的，以所属行业行政主管部门规定的较大数额罚款金额标准</w:t>
      </w:r>
      <w:r>
        <w:rPr>
          <w:rFonts w:hint="eastAsia" w:ascii="宋体" w:hAnsi="宋体" w:eastAsia="宋体" w:cs="宋体"/>
          <w:color w:val="auto"/>
          <w:highlight w:val="none"/>
          <w:lang w:val="en-US" w:eastAsia="zh-CN"/>
        </w:rPr>
        <w:t>为准</w:t>
      </w:r>
      <w:r>
        <w:rPr>
          <w:rFonts w:hint="eastAsia" w:ascii="宋体" w:hAnsi="宋体" w:eastAsia="宋体" w:cs="宋体"/>
          <w:color w:val="auto"/>
          <w:highlight w:val="none"/>
        </w:rPr>
        <w:t>；若采购项目所属行业行政主管部门对较大数额罚款金额标准未明文规定的，以《四川省行政处罚听证程序规定》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四川省人民政府令第317号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规定的行政处罚罚款听证标准金额</w:t>
      </w:r>
      <w:r>
        <w:rPr>
          <w:rFonts w:hint="eastAsia" w:ascii="宋体" w:hAnsi="宋体" w:eastAsia="宋体" w:cs="宋体"/>
          <w:color w:val="auto"/>
          <w:highlight w:val="none"/>
          <w:lang w:val="en-US" w:eastAsia="zh-CN"/>
        </w:rPr>
        <w:t>为准</w:t>
      </w:r>
      <w:r>
        <w:rPr>
          <w:rFonts w:hint="eastAsia" w:ascii="宋体" w:hAnsi="宋体" w:eastAsia="宋体" w:cs="宋体"/>
          <w:color w:val="auto"/>
          <w:highlight w:val="none"/>
        </w:rPr>
        <w:t>。</w:t>
      </w:r>
    </w:p>
    <w:p>
      <w:pPr>
        <w:pStyle w:val="24"/>
        <w:numPr>
          <w:ilvl w:val="0"/>
          <w:numId w:val="11"/>
        </w:num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br w:type="page"/>
      </w:r>
      <w:bookmarkEnd w:id="962"/>
      <w:bookmarkStart w:id="963" w:name="_Toc18196"/>
      <w:bookmarkStart w:id="964" w:name="_Toc22998"/>
      <w:bookmarkStart w:id="965" w:name="_Toc2816"/>
      <w:r>
        <w:rPr>
          <w:rFonts w:hint="eastAsia" w:ascii="宋体" w:hAnsi="宋体" w:eastAsia="宋体" w:cs="宋体"/>
          <w:color w:val="auto"/>
          <w:highlight w:val="none"/>
          <w:lang w:val="en-US" w:eastAsia="zh-CN"/>
        </w:rPr>
        <w:t>资格性审查</w:t>
      </w:r>
      <w:bookmarkEnd w:id="963"/>
      <w:r>
        <w:rPr>
          <w:rFonts w:hint="eastAsia" w:ascii="宋体" w:hAnsi="宋体" w:eastAsia="宋体" w:cs="宋体"/>
          <w:color w:val="auto"/>
          <w:highlight w:val="none"/>
          <w:lang w:val="en-US" w:eastAsia="zh-CN"/>
        </w:rPr>
        <w:t>内容</w:t>
      </w:r>
      <w:bookmarkEnd w:id="964"/>
      <w:bookmarkEnd w:id="965"/>
    </w:p>
    <w:p>
      <w:pPr>
        <w:pStyle w:val="26"/>
        <w:numPr>
          <w:ilvl w:val="1"/>
          <w:numId w:val="11"/>
        </w:numPr>
        <w:bidi w:val="0"/>
        <w:rPr>
          <w:rFonts w:hint="eastAsia" w:ascii="宋体" w:hAnsi="宋体" w:eastAsia="宋体" w:cs="宋体"/>
          <w:color w:val="auto"/>
          <w:highlight w:val="none"/>
        </w:rPr>
      </w:pPr>
      <w:bookmarkStart w:id="966" w:name="_Toc30344"/>
      <w:bookmarkStart w:id="967" w:name="_Toc28265"/>
      <w:bookmarkStart w:id="968" w:name="_Toc17621"/>
      <w:bookmarkStart w:id="969" w:name="_Toc17175"/>
      <w:bookmarkStart w:id="970" w:name="_Toc16583"/>
      <w:bookmarkStart w:id="971" w:name="_Toc3107"/>
      <w:bookmarkStart w:id="972" w:name="_Toc10631"/>
      <w:bookmarkStart w:id="973" w:name="_Toc20678"/>
      <w:bookmarkStart w:id="974" w:name="_Toc141"/>
      <w:bookmarkStart w:id="975" w:name="_Toc32482"/>
      <w:r>
        <w:rPr>
          <w:rFonts w:hint="eastAsia" w:ascii="宋体" w:hAnsi="宋体" w:eastAsia="宋体" w:cs="宋体"/>
          <w:color w:val="auto"/>
          <w:highlight w:val="none"/>
        </w:rPr>
        <w:t>应当提供的投标人</w:t>
      </w:r>
      <w:r>
        <w:rPr>
          <w:rFonts w:hint="eastAsia" w:ascii="宋体" w:hAnsi="宋体" w:eastAsia="宋体" w:cs="宋体"/>
          <w:color w:val="auto"/>
          <w:highlight w:val="none"/>
          <w:lang w:eastAsia="zh-CN"/>
        </w:rPr>
        <w:t>及投标产品</w:t>
      </w:r>
      <w:r>
        <w:rPr>
          <w:rFonts w:hint="eastAsia" w:ascii="宋体" w:hAnsi="宋体" w:eastAsia="宋体" w:cs="宋体"/>
          <w:color w:val="auto"/>
          <w:highlight w:val="none"/>
        </w:rPr>
        <w:t>资格、资质性及其他类似效力要求的相关证明材料</w:t>
      </w:r>
      <w:bookmarkEnd w:id="966"/>
      <w:bookmarkEnd w:id="967"/>
      <w:bookmarkEnd w:id="968"/>
      <w:bookmarkEnd w:id="969"/>
      <w:bookmarkEnd w:id="970"/>
      <w:bookmarkEnd w:id="971"/>
    </w:p>
    <w:p>
      <w:pPr>
        <w:pStyle w:val="37"/>
        <w:numPr>
          <w:ilvl w:val="1"/>
          <w:numId w:val="25"/>
        </w:num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具有独立承担民事责任的能力</w:t>
      </w:r>
      <w:r>
        <w:rPr>
          <w:rFonts w:hint="eastAsia" w:ascii="宋体" w:hAnsi="宋体" w:eastAsia="宋体" w:cs="宋体"/>
          <w:b/>
          <w:bCs/>
          <w:color w:val="auto"/>
          <w:highlight w:val="none"/>
          <w:lang w:val="en-US" w:eastAsia="zh-CN"/>
        </w:rPr>
        <w:t>的证明材料；</w:t>
      </w:r>
    </w:p>
    <w:p>
      <w:pPr>
        <w:pStyle w:val="29"/>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1.投标人</w:t>
      </w:r>
      <w:r>
        <w:rPr>
          <w:rFonts w:hint="eastAsia" w:ascii="宋体" w:hAnsi="宋体" w:eastAsia="宋体" w:cs="宋体"/>
          <w:color w:val="auto"/>
          <w:highlight w:val="none"/>
        </w:rPr>
        <w:t>若为企业法人：提供“营业执照”；未换证的提供“营业执照、税务登记证、组织机构代码证”；</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若为事业法人：提供“统一社会信用代码法人登记证书”；未换证的提交“事业法人登记证书、组织机构代码证”；</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若为其他组织：提供“对应主管部门颁发的准许执业证明文件或营业执照”；</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若为自然人：提供“身份证明材料”</w:t>
      </w:r>
      <w:r>
        <w:rPr>
          <w:rFonts w:hint="eastAsia" w:ascii="宋体" w:hAnsi="宋体" w:eastAsia="宋体" w:cs="宋体"/>
          <w:color w:val="auto"/>
          <w:highlight w:val="none"/>
          <w:lang w:eastAsia="zh-CN"/>
        </w:rPr>
        <w:t>。</w:t>
      </w:r>
    </w:p>
    <w:p>
      <w:pPr>
        <w:pStyle w:val="4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注：1.以上证明材料应满足此条要求①发证机关有年检要求的，应按规定通过年检；②在有效期内；③复印件加盖投标人公章；</w:t>
      </w:r>
    </w:p>
    <w:p>
      <w:pPr>
        <w:pStyle w:val="4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根据国务院办公厅关于加快推进“多证合一”改革的指导意见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国办发</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2017</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41号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等政策要求，若资格要求涉及的登记、备案等有关事项和各类证照已实行多证合一</w:t>
      </w:r>
      <w:r>
        <w:rPr>
          <w:rFonts w:hint="eastAsia" w:ascii="宋体" w:hAnsi="宋体" w:eastAsia="宋体" w:cs="宋体"/>
          <w:color w:val="auto"/>
          <w:highlight w:val="none"/>
          <w:lang w:eastAsia="zh-CN"/>
        </w:rPr>
        <w:t>提供多证合一证照复印件</w:t>
      </w:r>
      <w:r>
        <w:rPr>
          <w:rFonts w:hint="eastAsia" w:ascii="宋体" w:hAnsi="宋体" w:eastAsia="宋体" w:cs="宋体"/>
          <w:color w:val="auto"/>
          <w:highlight w:val="none"/>
        </w:rPr>
        <w:t>。</w:t>
      </w:r>
    </w:p>
    <w:p>
      <w:pPr>
        <w:pStyle w:val="37"/>
        <w:numPr>
          <w:ilvl w:val="1"/>
          <w:numId w:val="25"/>
        </w:num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投标人具有良好的商业信誉和健全的财务会计制度的证明材料；</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1.投标人</w:t>
      </w:r>
      <w:r>
        <w:rPr>
          <w:rFonts w:hint="eastAsia" w:ascii="宋体" w:hAnsi="宋体" w:eastAsia="宋体" w:cs="宋体"/>
          <w:color w:val="auto"/>
          <w:highlight w:val="none"/>
        </w:rPr>
        <w:t>具</w:t>
      </w:r>
      <w:r>
        <w:rPr>
          <w:rFonts w:hint="eastAsia" w:ascii="宋体" w:hAnsi="宋体" w:eastAsia="宋体" w:cs="宋体"/>
          <w:color w:val="auto"/>
          <w:highlight w:val="none"/>
          <w:lang w:val="en-US" w:eastAsia="zh-CN"/>
        </w:rPr>
        <w:t>有</w:t>
      </w:r>
      <w:r>
        <w:rPr>
          <w:rFonts w:hint="eastAsia" w:ascii="宋体" w:hAnsi="宋体" w:eastAsia="宋体" w:cs="宋体"/>
          <w:color w:val="auto"/>
          <w:highlight w:val="none"/>
        </w:rPr>
        <w:t>良好商业信誉的证明材料</w:t>
      </w:r>
      <w:r>
        <w:rPr>
          <w:rFonts w:hint="eastAsia" w:ascii="宋体" w:hAnsi="宋体" w:eastAsia="宋体" w:cs="宋体"/>
          <w:color w:val="auto"/>
          <w:highlight w:val="none"/>
          <w:lang w:eastAsia="zh-CN"/>
        </w:rPr>
        <w:t>；</w:t>
      </w:r>
    </w:p>
    <w:p>
      <w:pPr>
        <w:pStyle w:val="29"/>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rPr>
        <w:t>具</w:t>
      </w:r>
      <w:r>
        <w:rPr>
          <w:rFonts w:hint="eastAsia" w:ascii="宋体" w:hAnsi="宋体" w:eastAsia="宋体" w:cs="宋体"/>
          <w:color w:val="auto"/>
          <w:highlight w:val="none"/>
          <w:lang w:val="en-US" w:eastAsia="zh-CN"/>
        </w:rPr>
        <w:t>有</w:t>
      </w:r>
      <w:r>
        <w:rPr>
          <w:rFonts w:hint="eastAsia" w:ascii="宋体" w:hAnsi="宋体" w:eastAsia="宋体" w:cs="宋体"/>
          <w:color w:val="auto"/>
          <w:highlight w:val="none"/>
        </w:rPr>
        <w:t>良好</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商业信誉</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承诺函</w:t>
      </w:r>
      <w:r>
        <w:rPr>
          <w:rFonts w:hint="eastAsia" w:ascii="宋体" w:hAnsi="宋体" w:eastAsia="宋体" w:cs="宋体"/>
          <w:color w:val="auto"/>
          <w:highlight w:val="none"/>
          <w:lang w:eastAsia="zh-CN"/>
        </w:rPr>
        <w:t>。</w:t>
      </w:r>
    </w:p>
    <w:p>
      <w:pPr>
        <w:pStyle w:val="29"/>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2.投标人具有健全的财务会计制度的证明材料；</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(1)投标人提供2019年度或2020年度经过会计师事务所审计的财务报告复印件(经审计的有效财务报告应包括报告及报告中所附的完整内容，并由注册会计师签名、盖章以及会计师事务所盖章)；</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(2)投标人提供2020年度投标人内部的财务报表复印件(至少包含资产负债表)；</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(3)投标人提供投标文件递交截止日前一年内银行为其出具的资信证明复印件；</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(4)投标人注册时间截至投标文件递交截止日不足一年的，可提供公司章程复印件；</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(5)投标人为事业单位或其他组织(不具备法人条件的组织，如</w:t>
      </w:r>
      <w:r>
        <w:rPr>
          <w:rFonts w:hint="eastAsia" w:ascii="宋体" w:hAnsi="宋体" w:eastAsia="宋体" w:cs="宋体"/>
          <w:color w:val="auto"/>
          <w:highlight w:val="none"/>
        </w:rPr>
        <w:t>合伙组织、个体工商户、农村承包经营户</w:t>
      </w:r>
      <w:r>
        <w:rPr>
          <w:rFonts w:hint="eastAsia" w:ascii="宋体" w:hAnsi="宋体" w:eastAsia="宋体" w:cs="宋体"/>
          <w:color w:val="auto"/>
          <w:highlight w:val="none"/>
          <w:lang w:val="en-US" w:eastAsia="zh-CN"/>
        </w:rPr>
        <w:t>等)或自然人时，可提供承诺函。</w:t>
      </w:r>
    </w:p>
    <w:p>
      <w:pPr>
        <w:pStyle w:val="49"/>
        <w:bidi w:val="0"/>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注：注：具有健全的财务会计制度的证明材料中第(1)-(5)项具有同等的投标效力，投标人可根据自身实际情况选择提供其中任意一项。</w:t>
      </w:r>
    </w:p>
    <w:p>
      <w:pPr>
        <w:pStyle w:val="37"/>
        <w:numPr>
          <w:ilvl w:val="1"/>
          <w:numId w:val="25"/>
        </w:num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rPr>
        <w:t>具有履行合同所必需的设备和专业技术能力</w:t>
      </w:r>
      <w:r>
        <w:rPr>
          <w:rFonts w:hint="eastAsia" w:ascii="宋体" w:hAnsi="宋体" w:eastAsia="宋体" w:cs="宋体"/>
          <w:b/>
          <w:bCs/>
          <w:color w:val="auto"/>
          <w:highlight w:val="none"/>
          <w:lang w:val="en-US" w:eastAsia="zh-CN"/>
        </w:rPr>
        <w:t>证明材料；</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提供具有履行合同所必需的设备和专业技术能力的承诺函。</w:t>
      </w:r>
    </w:p>
    <w:p>
      <w:pPr>
        <w:pStyle w:val="4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注：格式自拟，或参照《符合&lt;中华人民共和国政府采购法&gt;第二十二条规定的条件的承诺及声明函》的格式提供</w:t>
      </w:r>
      <w:r>
        <w:rPr>
          <w:rFonts w:hint="eastAsia" w:ascii="宋体" w:hAnsi="宋体" w:eastAsia="宋体" w:cs="宋体"/>
          <w:color w:val="auto"/>
          <w:highlight w:val="none"/>
        </w:rPr>
        <w:t>承诺</w:t>
      </w:r>
      <w:r>
        <w:rPr>
          <w:rFonts w:hint="eastAsia" w:ascii="宋体" w:hAnsi="宋体" w:eastAsia="宋体" w:cs="宋体"/>
          <w:color w:val="auto"/>
          <w:highlight w:val="none"/>
          <w:lang w:val="en-US" w:eastAsia="zh-CN"/>
        </w:rPr>
        <w:t>函。</w:t>
      </w:r>
    </w:p>
    <w:p>
      <w:pPr>
        <w:pStyle w:val="37"/>
        <w:numPr>
          <w:ilvl w:val="1"/>
          <w:numId w:val="25"/>
        </w:num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投标人具</w:t>
      </w:r>
      <w:r>
        <w:rPr>
          <w:rFonts w:hint="eastAsia" w:ascii="宋体" w:hAnsi="宋体" w:eastAsia="宋体" w:cs="宋体"/>
          <w:b/>
          <w:bCs/>
          <w:color w:val="auto"/>
          <w:highlight w:val="none"/>
        </w:rPr>
        <w:t>有依法缴纳税收和社会保障资金的良好记录</w:t>
      </w:r>
      <w:r>
        <w:rPr>
          <w:rFonts w:hint="eastAsia" w:ascii="宋体" w:hAnsi="宋体" w:eastAsia="宋体" w:cs="宋体"/>
          <w:b/>
          <w:bCs/>
          <w:color w:val="auto"/>
          <w:highlight w:val="none"/>
          <w:lang w:val="en-US" w:eastAsia="zh-CN"/>
        </w:rPr>
        <w:t>的证明材料；</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提供</w:t>
      </w:r>
      <w:r>
        <w:rPr>
          <w:rFonts w:hint="eastAsia" w:ascii="宋体" w:hAnsi="宋体" w:eastAsia="宋体" w:cs="宋体"/>
          <w:color w:val="auto"/>
          <w:highlight w:val="none"/>
          <w:lang w:val="zh-CN"/>
        </w:rPr>
        <w:t>依法缴纳税收和社会保障资金的良好记录</w:t>
      </w:r>
      <w:r>
        <w:rPr>
          <w:rFonts w:hint="eastAsia" w:ascii="宋体" w:hAnsi="宋体" w:eastAsia="宋体" w:cs="宋体"/>
          <w:color w:val="auto"/>
          <w:highlight w:val="none"/>
        </w:rPr>
        <w:t>的承诺函</w:t>
      </w:r>
      <w:r>
        <w:rPr>
          <w:rFonts w:hint="eastAsia" w:ascii="宋体" w:hAnsi="宋体" w:eastAsia="宋体" w:cs="宋体"/>
          <w:color w:val="auto"/>
          <w:highlight w:val="none"/>
          <w:lang w:eastAsia="zh-CN"/>
        </w:rPr>
        <w:t>。</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注：格式自拟，或参照《符合&lt;中华人民共和国政府采购法&gt;第二十二条规定的条件的承诺及声明函》的格式提供</w:t>
      </w:r>
      <w:r>
        <w:rPr>
          <w:rFonts w:hint="eastAsia" w:ascii="宋体" w:hAnsi="宋体" w:eastAsia="宋体" w:cs="宋体"/>
          <w:color w:val="auto"/>
          <w:highlight w:val="none"/>
        </w:rPr>
        <w:t>承诺</w:t>
      </w:r>
      <w:r>
        <w:rPr>
          <w:rFonts w:hint="eastAsia" w:ascii="宋体" w:hAnsi="宋体" w:eastAsia="宋体" w:cs="宋体"/>
          <w:color w:val="auto"/>
          <w:highlight w:val="none"/>
          <w:lang w:val="en-US" w:eastAsia="zh-CN"/>
        </w:rPr>
        <w:t>函。</w:t>
      </w:r>
    </w:p>
    <w:p>
      <w:pPr>
        <w:pStyle w:val="37"/>
        <w:numPr>
          <w:ilvl w:val="1"/>
          <w:numId w:val="25"/>
        </w:num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投标人参加政府采购活动前三年内，在经营活动中没有重大违法记录的证明材料；</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提供参加本次政府采购活动前三年内，在经营活动中没有重大违法记录的书面声明(成立不足三年的，从成立之日起计算)。</w:t>
      </w:r>
    </w:p>
    <w:p>
      <w:pPr>
        <w:pStyle w:val="37"/>
        <w:numPr>
          <w:ilvl w:val="1"/>
          <w:numId w:val="25"/>
        </w:num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投标人</w:t>
      </w:r>
      <w:r>
        <w:rPr>
          <w:rFonts w:hint="eastAsia" w:ascii="宋体" w:hAnsi="宋体" w:eastAsia="宋体" w:cs="宋体"/>
          <w:b/>
          <w:bCs/>
          <w:color w:val="auto"/>
          <w:highlight w:val="none"/>
          <w:lang w:val="zh-CN" w:eastAsia="zh-CN"/>
        </w:rPr>
        <w:t>及其现任法定代表人、主要负责人不得具有行贿犯罪记录</w:t>
      </w:r>
      <w:r>
        <w:rPr>
          <w:rFonts w:hint="eastAsia" w:ascii="宋体" w:hAnsi="宋体" w:eastAsia="宋体" w:cs="宋体"/>
          <w:b/>
          <w:bCs/>
          <w:color w:val="auto"/>
          <w:highlight w:val="none"/>
          <w:lang w:val="en-US" w:eastAsia="zh-CN"/>
        </w:rPr>
        <w:t>的证明材料</w:t>
      </w:r>
      <w:r>
        <w:rPr>
          <w:rFonts w:hint="eastAsia" w:ascii="宋体" w:hAnsi="宋体" w:eastAsia="宋体" w:cs="宋体"/>
          <w:b/>
          <w:bCs/>
          <w:color w:val="auto"/>
          <w:highlight w:val="none"/>
          <w:lang w:val="zh-CN" w:eastAsia="zh-CN"/>
        </w:rPr>
        <w:t>；</w:t>
      </w:r>
    </w:p>
    <w:p>
      <w:pPr>
        <w:pStyle w:val="49"/>
        <w:bidi w:val="0"/>
        <w:jc w:val="both"/>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1.在投标文件中作出投标人及其现任法定代表人(姓名和身份证号码)、主要负责人(姓名和身份证号码)10年内(</w:t>
      </w:r>
      <w:r>
        <w:rPr>
          <w:rFonts w:hint="eastAsia" w:ascii="宋体" w:hAnsi="宋体" w:eastAsia="宋体" w:cs="宋体"/>
          <w:b w:val="0"/>
          <w:bCs/>
          <w:color w:val="auto"/>
          <w:highlight w:val="none"/>
          <w:lang w:val="zh-CN" w:eastAsia="zh-CN"/>
        </w:rPr>
        <w:t>若</w:t>
      </w:r>
      <w:r>
        <w:rPr>
          <w:rFonts w:hint="eastAsia" w:ascii="宋体" w:hAnsi="宋体" w:eastAsia="宋体" w:cs="宋体"/>
          <w:b w:val="0"/>
          <w:bCs/>
          <w:color w:val="auto"/>
          <w:highlight w:val="none"/>
          <w:lang w:val="en-US" w:eastAsia="zh-CN"/>
        </w:rPr>
        <w:t>供应商</w:t>
      </w:r>
      <w:r>
        <w:rPr>
          <w:rFonts w:hint="eastAsia" w:ascii="宋体" w:hAnsi="宋体" w:eastAsia="宋体" w:cs="宋体"/>
          <w:b w:val="0"/>
          <w:bCs/>
          <w:color w:val="auto"/>
          <w:highlight w:val="none"/>
          <w:lang w:val="zh-CN" w:eastAsia="zh-CN"/>
        </w:rPr>
        <w:t>成立不足10年的，</w:t>
      </w:r>
      <w:r>
        <w:rPr>
          <w:rFonts w:hint="eastAsia" w:ascii="宋体" w:hAnsi="宋体" w:eastAsia="宋体" w:cs="宋体"/>
          <w:b w:val="0"/>
          <w:bCs/>
          <w:color w:val="auto"/>
          <w:highlight w:val="none"/>
          <w:lang w:val="en-US" w:eastAsia="zh-CN"/>
        </w:rPr>
        <w:t>承诺期限为</w:t>
      </w:r>
      <w:r>
        <w:rPr>
          <w:rFonts w:hint="eastAsia" w:ascii="宋体" w:hAnsi="宋体" w:eastAsia="宋体" w:cs="宋体"/>
          <w:b w:val="0"/>
          <w:bCs/>
          <w:color w:val="auto"/>
          <w:highlight w:val="none"/>
          <w:lang w:val="zh-CN" w:eastAsia="zh-CN"/>
        </w:rPr>
        <w:t>成立之日起</w:t>
      </w:r>
      <w:r>
        <w:rPr>
          <w:rFonts w:hint="eastAsia" w:ascii="宋体" w:hAnsi="宋体" w:eastAsia="宋体" w:cs="宋体"/>
          <w:b w:val="0"/>
          <w:bCs/>
          <w:color w:val="auto"/>
          <w:highlight w:val="none"/>
          <w:lang w:val="en-US" w:eastAsia="zh-CN"/>
        </w:rPr>
        <w:t>至今)无行贿犯罪记录的承诺；</w:t>
      </w:r>
    </w:p>
    <w:p>
      <w:pPr>
        <w:pStyle w:val="49"/>
        <w:bidi w:val="0"/>
        <w:jc w:val="both"/>
        <w:rPr>
          <w:rFonts w:hint="eastAsia" w:ascii="宋体" w:hAnsi="宋体" w:eastAsia="宋体" w:cs="宋体"/>
          <w:b w:val="0"/>
          <w:bCs/>
          <w:color w:val="auto"/>
          <w:highlight w:val="none"/>
          <w:lang w:val="zh-CN" w:eastAsia="zh-CN"/>
        </w:rPr>
      </w:pPr>
      <w:r>
        <w:rPr>
          <w:rFonts w:hint="eastAsia" w:ascii="宋体" w:hAnsi="宋体" w:eastAsia="宋体" w:cs="宋体"/>
          <w:b w:val="0"/>
          <w:bCs/>
          <w:color w:val="auto"/>
          <w:highlight w:val="none"/>
          <w:lang w:val="en-US" w:eastAsia="zh-CN"/>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ascii="宋体" w:hAnsi="宋体" w:eastAsia="宋体" w:cs="宋体"/>
          <w:b w:val="0"/>
          <w:bCs/>
          <w:color w:val="auto"/>
          <w:highlight w:val="none"/>
          <w:lang w:val="zh-CN" w:eastAsia="zh-CN"/>
        </w:rPr>
        <w:t>。</w:t>
      </w:r>
    </w:p>
    <w:p>
      <w:pPr>
        <w:pStyle w:val="28"/>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w:t>
      </w:r>
      <w:r>
        <w:rPr>
          <w:rFonts w:hint="eastAsia" w:ascii="宋体" w:hAnsi="宋体" w:eastAsia="宋体" w:cs="宋体"/>
          <w:b/>
          <w:bCs/>
          <w:color w:val="auto"/>
          <w:highlight w:val="none"/>
          <w:lang w:eastAsia="zh-CN"/>
        </w:rPr>
        <w:t>①</w:t>
      </w:r>
      <w:r>
        <w:rPr>
          <w:rFonts w:hint="eastAsia" w:ascii="宋体" w:hAnsi="宋体" w:eastAsia="宋体" w:cs="宋体"/>
          <w:b/>
          <w:bCs/>
          <w:color w:val="auto"/>
          <w:highlight w:val="none"/>
          <w:lang w:val="en-US" w:eastAsia="zh-CN"/>
        </w:rPr>
        <w:t>投标人采用提供承诺函方式响应的，其内容必须符合上述第1款的要求，否则将视为无效承诺；</w:t>
      </w:r>
      <w:r>
        <w:rPr>
          <w:rFonts w:hint="eastAsia" w:ascii="宋体" w:hAnsi="宋体" w:eastAsia="宋体" w:cs="宋体"/>
          <w:b/>
          <w:bCs/>
          <w:color w:val="auto"/>
          <w:highlight w:val="none"/>
          <w:lang w:eastAsia="zh-CN"/>
        </w:rPr>
        <w:t>②</w:t>
      </w:r>
      <w:r>
        <w:rPr>
          <w:rFonts w:hint="eastAsia" w:ascii="宋体" w:hAnsi="宋体" w:eastAsia="宋体" w:cs="宋体"/>
          <w:b/>
          <w:bCs/>
          <w:color w:val="auto"/>
          <w:highlight w:val="none"/>
          <w:lang w:val="en-US" w:eastAsia="zh-CN"/>
        </w:rPr>
        <w:t>如投标人未提供有效承诺函，且未</w:t>
      </w:r>
      <w:r>
        <w:rPr>
          <w:rFonts w:hint="eastAsia" w:ascii="宋体" w:hAnsi="宋体" w:eastAsia="宋体" w:cs="宋体"/>
          <w:b/>
          <w:bCs w:val="0"/>
          <w:color w:val="auto"/>
          <w:highlight w:val="none"/>
          <w:lang w:val="en-US" w:eastAsia="zh-CN"/>
        </w:rPr>
        <w:t>在投标文件中书面载明</w:t>
      </w:r>
      <w:r>
        <w:rPr>
          <w:rFonts w:hint="eastAsia" w:ascii="宋体" w:hAnsi="宋体" w:eastAsia="宋体" w:cs="宋体"/>
          <w:b/>
          <w:bCs/>
          <w:color w:val="auto"/>
          <w:highlight w:val="none"/>
          <w:lang w:val="en-US" w:eastAsia="zh-CN"/>
        </w:rPr>
        <w:t>其“现任法定代表人”(姓名和身份证号码)、“主要负责人”(姓名和身份证号码)信息的，将被视为无效投标。</w:t>
      </w:r>
    </w:p>
    <w:p>
      <w:pPr>
        <w:pStyle w:val="37"/>
        <w:numPr>
          <w:ilvl w:val="1"/>
          <w:numId w:val="25"/>
        </w:num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投标人不得为“信用中国”网站(www.creditchina.gov.cn)中列入失信被执行人和重大税收违法案件当事人名单的供应商，不得为“中国政府采购网”(www.ccgp.gov.cn)政府</w:t>
      </w:r>
      <w:r>
        <w:rPr>
          <w:rFonts w:hint="eastAsia" w:ascii="宋体" w:hAnsi="宋体" w:eastAsia="宋体" w:cs="宋体"/>
          <w:b/>
          <w:bCs/>
          <w:color w:val="auto"/>
          <w:highlight w:val="none"/>
        </w:rPr>
        <w:t>采购严重违法失信行为记录名单中被财政部门禁止参加政府采购活动的供应商</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处罚决定规定的时间和地域范围内</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 xml:space="preserve"> </w:t>
      </w:r>
    </w:p>
    <w:p>
      <w:pPr>
        <w:pStyle w:val="29"/>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采购代理机构通过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信用中国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网站、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中国政府采购网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等渠道对供应商进行信用记录查询，并将查询记录存档。凡被列入失信被执行人、重大税收违法案件当事人名单、政府采购严重违法失信行为记录名单的，视为存在不良信用记录，参与本项目的将被拒绝</w:t>
      </w:r>
      <w:r>
        <w:rPr>
          <w:rFonts w:hint="eastAsia" w:ascii="宋体" w:hAnsi="宋体" w:eastAsia="宋体" w:cs="宋体"/>
          <w:color w:val="auto"/>
          <w:highlight w:val="none"/>
          <w:lang w:eastAsia="zh-CN"/>
        </w:rPr>
        <w:t>。</w:t>
      </w:r>
    </w:p>
    <w:p>
      <w:pPr>
        <w:pStyle w:val="49"/>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注：投标人</w:t>
      </w:r>
      <w:r>
        <w:rPr>
          <w:rFonts w:hint="eastAsia" w:ascii="宋体" w:hAnsi="宋体" w:eastAsia="宋体" w:cs="宋体"/>
          <w:color w:val="auto"/>
          <w:highlight w:val="none"/>
        </w:rPr>
        <w:t>参与</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时无需对此条进行响应</w:t>
      </w:r>
      <w:r>
        <w:rPr>
          <w:rFonts w:hint="eastAsia" w:ascii="宋体" w:hAnsi="宋体" w:eastAsia="宋体" w:cs="宋体"/>
          <w:color w:val="auto"/>
          <w:highlight w:val="none"/>
          <w:lang w:eastAsia="zh-CN"/>
        </w:rPr>
        <w:t>。</w:t>
      </w:r>
    </w:p>
    <w:p>
      <w:pPr>
        <w:pStyle w:val="37"/>
        <w:numPr>
          <w:ilvl w:val="1"/>
          <w:numId w:val="25"/>
        </w:num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w:t>
      </w:r>
      <w:r>
        <w:rPr>
          <w:rFonts w:hint="eastAsia" w:ascii="宋体" w:hAnsi="宋体" w:eastAsia="宋体" w:cs="宋体"/>
          <w:b/>
          <w:bCs/>
          <w:color w:val="auto"/>
          <w:highlight w:val="none"/>
          <w:lang w:val="en-US" w:eastAsia="zh-CN"/>
        </w:rPr>
        <w:t>/单位负责人</w:t>
      </w:r>
      <w:r>
        <w:rPr>
          <w:rFonts w:hint="eastAsia" w:ascii="宋体" w:hAnsi="宋体" w:eastAsia="宋体" w:cs="宋体"/>
          <w:b/>
          <w:bCs/>
          <w:color w:val="auto"/>
          <w:highlight w:val="none"/>
        </w:rPr>
        <w:t>授权书原件</w:t>
      </w:r>
      <w:r>
        <w:rPr>
          <w:rFonts w:hint="eastAsia" w:ascii="宋体" w:hAnsi="宋体" w:eastAsia="宋体" w:cs="宋体"/>
          <w:b/>
          <w:bCs/>
          <w:color w:val="auto"/>
          <w:highlight w:val="none"/>
          <w:lang w:val="en-US" w:eastAsia="zh-CN"/>
        </w:rPr>
        <w:t>；</w:t>
      </w:r>
    </w:p>
    <w:p>
      <w:pPr>
        <w:pStyle w:val="49"/>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注：</w:t>
      </w:r>
      <w:r>
        <w:rPr>
          <w:rFonts w:hint="eastAsia" w:ascii="宋体" w:hAnsi="宋体" w:eastAsia="宋体" w:cs="宋体"/>
          <w:color w:val="auto"/>
          <w:highlight w:val="none"/>
          <w:lang w:eastAsia="zh-CN"/>
        </w:rPr>
        <w:t>①附法定代表人</w:t>
      </w:r>
      <w:r>
        <w:rPr>
          <w:rFonts w:hint="eastAsia" w:ascii="宋体" w:hAnsi="宋体" w:eastAsia="宋体" w:cs="宋体"/>
          <w:color w:val="auto"/>
          <w:highlight w:val="none"/>
          <w:lang w:val="en-US" w:eastAsia="zh-CN"/>
        </w:rPr>
        <w:t>/单位负责人</w:t>
      </w:r>
      <w:r>
        <w:rPr>
          <w:rFonts w:hint="eastAsia" w:ascii="宋体" w:hAnsi="宋体" w:eastAsia="宋体" w:cs="宋体"/>
          <w:color w:val="auto"/>
          <w:highlight w:val="none"/>
          <w:lang w:eastAsia="zh-CN"/>
        </w:rPr>
        <w:t>和被授权人身份证正反面复印件；②法定代表人</w:t>
      </w:r>
      <w:r>
        <w:rPr>
          <w:rFonts w:hint="eastAsia" w:ascii="宋体" w:hAnsi="宋体" w:eastAsia="宋体" w:cs="宋体"/>
          <w:color w:val="auto"/>
          <w:highlight w:val="none"/>
          <w:lang w:val="en-US" w:eastAsia="zh-CN"/>
        </w:rPr>
        <w:t>/单位负责人亲自</w:t>
      </w:r>
      <w:r>
        <w:rPr>
          <w:rFonts w:hint="eastAsia" w:ascii="宋体" w:hAnsi="宋体" w:eastAsia="宋体" w:cs="宋体"/>
          <w:color w:val="auto"/>
          <w:highlight w:val="none"/>
          <w:lang w:eastAsia="zh-CN"/>
        </w:rPr>
        <w:t>参与</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lang w:eastAsia="zh-CN"/>
        </w:rPr>
        <w:t>时不需要提供。</w:t>
      </w:r>
    </w:p>
    <w:p>
      <w:pPr>
        <w:pStyle w:val="37"/>
        <w:numPr>
          <w:ilvl w:val="1"/>
          <w:numId w:val="25"/>
        </w:num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w:t>
      </w:r>
      <w:r>
        <w:rPr>
          <w:rFonts w:hint="eastAsia" w:ascii="宋体" w:hAnsi="宋体" w:eastAsia="宋体" w:cs="宋体"/>
          <w:b/>
          <w:bCs/>
          <w:color w:val="auto"/>
          <w:highlight w:val="none"/>
          <w:lang w:val="en-US" w:eastAsia="zh-CN"/>
        </w:rPr>
        <w:t>/单位负责人</w:t>
      </w:r>
      <w:r>
        <w:rPr>
          <w:rFonts w:hint="eastAsia" w:ascii="宋体" w:hAnsi="宋体" w:eastAsia="宋体" w:cs="宋体"/>
          <w:b/>
          <w:bCs/>
          <w:color w:val="auto"/>
          <w:highlight w:val="none"/>
        </w:rPr>
        <w:t>证明书</w:t>
      </w:r>
      <w:r>
        <w:rPr>
          <w:rFonts w:hint="eastAsia" w:ascii="宋体" w:hAnsi="宋体" w:eastAsia="宋体" w:cs="宋体"/>
          <w:b/>
          <w:bCs/>
          <w:color w:val="auto"/>
          <w:highlight w:val="none"/>
          <w:lang w:val="en-US" w:eastAsia="zh-CN"/>
        </w:rPr>
        <w:t>；</w:t>
      </w:r>
    </w:p>
    <w:p>
      <w:pPr>
        <w:pStyle w:val="4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注：①</w:t>
      </w:r>
      <w:r>
        <w:rPr>
          <w:rFonts w:hint="eastAsia" w:ascii="宋体" w:hAnsi="宋体" w:eastAsia="宋体" w:cs="宋体"/>
          <w:color w:val="auto"/>
          <w:highlight w:val="none"/>
          <w:lang w:eastAsia="zh-CN"/>
        </w:rPr>
        <w:t>附</w:t>
      </w:r>
      <w:r>
        <w:rPr>
          <w:rFonts w:hint="eastAsia" w:ascii="宋体" w:hAnsi="宋体" w:eastAsia="宋体" w:cs="宋体"/>
          <w:color w:val="auto"/>
          <w:highlight w:val="none"/>
          <w:lang w:val="en-US" w:eastAsia="zh-CN"/>
        </w:rPr>
        <w:t>法定代表人/单位负责人身份证正反面复印件；②法定代表人/单位负责人亲自参加投标时提供本证明书。</w:t>
      </w:r>
    </w:p>
    <w:p>
      <w:pPr>
        <w:pStyle w:val="37"/>
        <w:numPr>
          <w:ilvl w:val="1"/>
          <w:numId w:val="25"/>
        </w:num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法律、</w:t>
      </w:r>
      <w:r>
        <w:rPr>
          <w:rFonts w:hint="eastAsia" w:ascii="宋体" w:hAnsi="宋体" w:eastAsia="宋体" w:cs="宋体"/>
          <w:b/>
          <w:bCs/>
          <w:color w:val="auto"/>
          <w:highlight w:val="none"/>
          <w:lang w:val="en-US" w:eastAsia="zh-CN"/>
        </w:rPr>
        <w:fldChar w:fldCharType="begin"/>
      </w:r>
      <w:r>
        <w:rPr>
          <w:rFonts w:hint="eastAsia" w:ascii="宋体" w:hAnsi="宋体" w:eastAsia="宋体" w:cs="宋体"/>
          <w:b/>
          <w:bCs/>
          <w:color w:val="auto"/>
          <w:highlight w:val="none"/>
          <w:lang w:val="en-US" w:eastAsia="zh-CN"/>
        </w:rPr>
        <w:instrText xml:space="preserve"> HYPERLINK "http://www.lawtime.cn/info/sifakaoshi/xingzhengfa/" \t "_blank" </w:instrText>
      </w:r>
      <w:r>
        <w:rPr>
          <w:rFonts w:hint="eastAsia" w:ascii="宋体" w:hAnsi="宋体" w:eastAsia="宋体" w:cs="宋体"/>
          <w:b/>
          <w:bCs/>
          <w:color w:val="auto"/>
          <w:highlight w:val="none"/>
          <w:lang w:val="en-US" w:eastAsia="zh-CN"/>
        </w:rPr>
        <w:fldChar w:fldCharType="separate"/>
      </w:r>
      <w:r>
        <w:rPr>
          <w:rFonts w:hint="eastAsia" w:ascii="宋体" w:hAnsi="宋体" w:eastAsia="宋体" w:cs="宋体"/>
          <w:b/>
          <w:bCs/>
          <w:color w:val="auto"/>
          <w:highlight w:val="none"/>
          <w:lang w:val="en-US" w:eastAsia="zh-CN"/>
        </w:rPr>
        <w:t>行政法</w:t>
      </w:r>
      <w:r>
        <w:rPr>
          <w:rFonts w:hint="eastAsia" w:ascii="宋体" w:hAnsi="宋体" w:eastAsia="宋体" w:cs="宋体"/>
          <w:b/>
          <w:bCs/>
          <w:color w:val="auto"/>
          <w:highlight w:val="none"/>
          <w:lang w:val="en-US" w:eastAsia="zh-CN"/>
        </w:rPr>
        <w:fldChar w:fldCharType="end"/>
      </w:r>
      <w:r>
        <w:rPr>
          <w:rFonts w:hint="eastAsia" w:ascii="宋体" w:hAnsi="宋体" w:eastAsia="宋体" w:cs="宋体"/>
          <w:b/>
          <w:bCs/>
          <w:color w:val="auto"/>
          <w:highlight w:val="none"/>
          <w:lang w:val="en-US" w:eastAsia="zh-CN"/>
        </w:rPr>
        <w:t>规规定的其他条件的证明材料；</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提供符合法律、</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"http://www.lawtime.cn/info/sifakaoshi/xingzhengfa/" \t "_blank"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行政法</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规规定的其他条件的承诺函。</w:t>
      </w:r>
    </w:p>
    <w:p>
      <w:pPr>
        <w:pStyle w:val="37"/>
        <w:numPr>
          <w:ilvl w:val="1"/>
          <w:numId w:val="25"/>
        </w:num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根据</w:t>
      </w:r>
      <w:r>
        <w:rPr>
          <w:rFonts w:hint="eastAsia" w:ascii="宋体" w:hAnsi="宋体" w:eastAsia="宋体" w:cs="宋体"/>
          <w:b/>
          <w:bCs/>
          <w:color w:val="auto"/>
          <w:highlight w:val="none"/>
        </w:rPr>
        <w:t>采购项目的特殊要求，规定供应商的特定条件</w:t>
      </w:r>
      <w:r>
        <w:rPr>
          <w:rFonts w:hint="eastAsia" w:ascii="宋体" w:hAnsi="宋体" w:eastAsia="宋体" w:cs="宋体"/>
          <w:b/>
          <w:bCs/>
          <w:color w:val="auto"/>
          <w:highlight w:val="none"/>
          <w:lang w:val="en-US" w:eastAsia="zh-CN"/>
        </w:rPr>
        <w:t>的证明材料；</w:t>
      </w:r>
    </w:p>
    <w:p>
      <w:pPr>
        <w:pStyle w:val="2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提供国家行政主管部门颁发且在有效期内的《中华人民共和国出版物经营许可证》复印件</w:t>
      </w:r>
      <w:r>
        <w:rPr>
          <w:rFonts w:hint="eastAsia" w:ascii="宋体" w:hAnsi="宋体" w:eastAsia="宋体" w:cs="宋体"/>
          <w:color w:val="auto"/>
          <w:highlight w:val="none"/>
          <w:lang w:val="en-US" w:eastAsia="zh-CN"/>
        </w:rPr>
        <w:t>。</w:t>
      </w:r>
    </w:p>
    <w:p>
      <w:pPr>
        <w:pStyle w:val="25"/>
        <w:bidi w:val="0"/>
        <w:rPr>
          <w:rFonts w:hint="eastAsia" w:ascii="宋体" w:hAnsi="宋体" w:eastAsia="宋体" w:cs="宋体"/>
          <w:color w:val="auto"/>
          <w:highlight w:val="none"/>
        </w:rPr>
      </w:pP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w:t>
      </w:r>
      <w:r>
        <w:rPr>
          <w:rFonts w:hint="eastAsia" w:ascii="宋体" w:hAnsi="宋体" w:eastAsia="宋体" w:cs="宋体"/>
          <w:color w:val="auto"/>
          <w:highlight w:val="none"/>
        </w:rPr>
        <w:t>注：①以上承诺及声明函可参照第三章投标文件格式中相关格式或自拟格式填写均有效。</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rPr>
        <w:t>②以上要求提供的相关证明材料须加盖投标人公章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否则</w:t>
      </w:r>
      <w:r>
        <w:rPr>
          <w:rFonts w:hint="eastAsia" w:ascii="宋体" w:hAnsi="宋体" w:eastAsia="宋体" w:cs="宋体"/>
          <w:color w:val="auto"/>
          <w:highlight w:val="none"/>
        </w:rPr>
        <w:t>其资格审查作未通过处理。</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rPr>
        <w:t>③本项目资格审查仅限于本章涉及的所有内容，若供应商未按照以上要求提供齐全，其资格审查作未通过处理。</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rPr>
        <w:t>④投标人应对其所提供的资格证明材料来源的合法性、真实性承担法律责任。</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⑤</w:t>
      </w:r>
      <w:r>
        <w:rPr>
          <w:rFonts w:hint="eastAsia" w:ascii="宋体" w:hAnsi="宋体" w:eastAsia="宋体" w:cs="宋体"/>
          <w:color w:val="auto"/>
          <w:highlight w:val="none"/>
        </w:rPr>
        <w:t>以上要求提供的相关证明材料应当结合采购项目具体情况和投标人的组织机构性质确定，不得一概而论。</w:t>
      </w:r>
    </w:p>
    <w:p>
      <w:pPr>
        <w:pStyle w:val="26"/>
        <w:numPr>
          <w:ilvl w:val="1"/>
          <w:numId w:val="11"/>
        </w:numPr>
        <w:bidi w:val="0"/>
        <w:rPr>
          <w:rFonts w:hint="eastAsia" w:ascii="宋体" w:hAnsi="宋体" w:eastAsia="宋体" w:cs="宋体"/>
          <w:color w:val="auto"/>
          <w:highlight w:val="none"/>
          <w:lang w:eastAsia="zh-CN"/>
        </w:rPr>
      </w:pPr>
      <w:bookmarkStart w:id="976" w:name="_Toc8193"/>
      <w:bookmarkStart w:id="977" w:name="_Toc14213"/>
      <w:r>
        <w:rPr>
          <w:rFonts w:hint="eastAsia" w:ascii="宋体" w:hAnsi="宋体" w:eastAsia="宋体" w:cs="宋体"/>
          <w:color w:val="auto"/>
          <w:highlight w:val="none"/>
          <w:lang w:eastAsia="zh-CN"/>
        </w:rPr>
        <w:t>审查程序</w:t>
      </w:r>
      <w:bookmarkEnd w:id="972"/>
      <w:bookmarkEnd w:id="973"/>
      <w:bookmarkEnd w:id="974"/>
      <w:bookmarkEnd w:id="976"/>
      <w:bookmarkEnd w:id="977"/>
    </w:p>
    <w:p>
      <w:pPr>
        <w:pStyle w:val="37"/>
        <w:numPr>
          <w:ilvl w:val="1"/>
          <w:numId w:val="26"/>
        </w:num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rPr>
        <w:t>《政府采购货物和服务招标投标管理办法》</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财政部令第</w:t>
      </w:r>
      <w:r>
        <w:rPr>
          <w:rFonts w:hint="eastAsia" w:ascii="宋体" w:hAnsi="宋体" w:eastAsia="宋体" w:cs="宋体"/>
          <w:color w:val="auto"/>
          <w:highlight w:val="none"/>
          <w:lang w:val="en-US" w:eastAsia="zh-CN"/>
        </w:rPr>
        <w:t>87</w:t>
      </w:r>
      <w:r>
        <w:rPr>
          <w:rFonts w:hint="eastAsia" w:ascii="宋体" w:hAnsi="宋体" w:eastAsia="宋体" w:cs="宋体"/>
          <w:color w:val="auto"/>
          <w:highlight w:val="none"/>
        </w:rPr>
        <w:t>号</w:t>
      </w:r>
      <w:r>
        <w:rPr>
          <w:rFonts w:hint="eastAsia" w:ascii="宋体" w:hAnsi="宋体" w:eastAsia="宋体" w:cs="宋体"/>
          <w:color w:val="auto"/>
          <w:highlight w:val="none"/>
          <w:lang w:eastAsia="zh-CN"/>
        </w:rPr>
        <w:t>)第四十四条</w:t>
      </w:r>
      <w:r>
        <w:rPr>
          <w:rFonts w:hint="eastAsia" w:ascii="宋体" w:hAnsi="宋体" w:eastAsia="宋体" w:cs="宋体"/>
          <w:color w:val="auto"/>
          <w:highlight w:val="none"/>
        </w:rPr>
        <w:t>对投标人的资格进行审查。</w:t>
      </w:r>
    </w:p>
    <w:p>
      <w:pPr>
        <w:pStyle w:val="37"/>
        <w:numPr>
          <w:ilvl w:val="1"/>
          <w:numId w:val="26"/>
        </w:num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本项目由</w:t>
      </w:r>
      <w:r>
        <w:rPr>
          <w:rFonts w:hint="eastAsia" w:ascii="宋体" w:hAnsi="宋体" w:eastAsia="宋体" w:cs="宋体"/>
          <w:color w:val="auto"/>
          <w:highlight w:val="none"/>
        </w:rPr>
        <w:t>采购人或者采购代理机构依法对投标人的资格进行审查</w:t>
      </w:r>
      <w:r>
        <w:rPr>
          <w:rFonts w:hint="eastAsia" w:ascii="宋体" w:hAnsi="宋体" w:eastAsia="宋体" w:cs="宋体"/>
          <w:color w:val="auto"/>
          <w:highlight w:val="none"/>
          <w:lang w:eastAsia="zh-CN"/>
        </w:rPr>
        <w:t>，并出具书面的资格性审查结果。</w:t>
      </w:r>
    </w:p>
    <w:p>
      <w:pPr>
        <w:pStyle w:val="37"/>
        <w:numPr>
          <w:ilvl w:val="1"/>
          <w:numId w:val="26"/>
        </w:numPr>
        <w:bidi w:val="0"/>
        <w:rPr>
          <w:rFonts w:hint="eastAsia" w:ascii="宋体" w:hAnsi="宋体" w:eastAsia="宋体" w:cs="宋体"/>
          <w:color w:val="auto"/>
          <w:highlight w:val="none"/>
        </w:rPr>
      </w:pPr>
      <w:r>
        <w:rPr>
          <w:rFonts w:hint="eastAsia" w:ascii="宋体" w:hAnsi="宋体" w:eastAsia="宋体" w:cs="宋体"/>
          <w:color w:val="auto"/>
          <w:highlight w:val="none"/>
        </w:rPr>
        <w:t>合格投标人不足3家的，不得评标</w:t>
      </w:r>
      <w:r>
        <w:rPr>
          <w:rFonts w:hint="eastAsia" w:ascii="宋体" w:hAnsi="宋体" w:eastAsia="宋体" w:cs="宋体"/>
          <w:color w:val="auto"/>
          <w:highlight w:val="none"/>
          <w:lang w:eastAsia="zh-CN"/>
        </w:rPr>
        <w:t>。</w:t>
      </w:r>
    </w:p>
    <w:p>
      <w:pPr>
        <w:pStyle w:val="25"/>
        <w:bidi w:val="0"/>
        <w:rPr>
          <w:rFonts w:hint="eastAsia" w:ascii="宋体" w:hAnsi="宋体" w:eastAsia="宋体" w:cs="宋体"/>
          <w:color w:val="auto"/>
          <w:highlight w:val="none"/>
        </w:rPr>
      </w:pPr>
    </w:p>
    <w:p>
      <w:pPr>
        <w:pStyle w:val="24"/>
        <w:numPr>
          <w:ilvl w:val="0"/>
          <w:numId w:val="11"/>
        </w:num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975"/>
      <w:bookmarkStart w:id="978" w:name="_Toc18519"/>
      <w:bookmarkStart w:id="979" w:name="_Toc14530"/>
      <w:bookmarkStart w:id="980" w:name="_Toc5955"/>
      <w:r>
        <w:rPr>
          <w:rFonts w:hint="eastAsia" w:ascii="宋体" w:hAnsi="宋体" w:eastAsia="宋体" w:cs="宋体"/>
          <w:color w:val="auto"/>
          <w:highlight w:val="none"/>
        </w:rPr>
        <w:t>招标项目技术、服务、政府采购合同内容条款及其他商务要求</w:t>
      </w:r>
      <w:bookmarkEnd w:id="978"/>
      <w:bookmarkEnd w:id="979"/>
      <w:bookmarkEnd w:id="980"/>
    </w:p>
    <w:p>
      <w:pPr>
        <w:pStyle w:val="26"/>
        <w:numPr>
          <w:ilvl w:val="1"/>
          <w:numId w:val="11"/>
        </w:numPr>
        <w:bidi w:val="0"/>
        <w:rPr>
          <w:rFonts w:hint="eastAsia" w:ascii="宋体" w:hAnsi="宋体" w:eastAsia="宋体" w:cs="宋体"/>
          <w:color w:val="auto"/>
          <w:highlight w:val="none"/>
        </w:rPr>
      </w:pPr>
      <w:bookmarkStart w:id="981" w:name="_Toc3099"/>
      <w:bookmarkStart w:id="982" w:name="_Toc26164"/>
      <w:bookmarkStart w:id="983" w:name="_Toc5869_WPSOffice_Level2"/>
      <w:bookmarkStart w:id="984" w:name="_Toc1684"/>
      <w:bookmarkStart w:id="985" w:name="_Toc28932"/>
      <w:bookmarkStart w:id="986" w:name="_Toc27469"/>
      <w:bookmarkStart w:id="987" w:name="_Toc327196343"/>
      <w:bookmarkStart w:id="988" w:name="_Toc23360"/>
      <w:bookmarkStart w:id="989" w:name="_Toc308188201"/>
      <w:bookmarkStart w:id="990" w:name="_Toc307501157"/>
      <w:bookmarkStart w:id="991" w:name="_Toc12025"/>
      <w:bookmarkStart w:id="992" w:name="_Toc319439948"/>
      <w:bookmarkStart w:id="993" w:name="_Toc309897566"/>
      <w:bookmarkStart w:id="994" w:name="_Toc319440192"/>
      <w:bookmarkStart w:id="995" w:name="_Toc1541"/>
      <w:bookmarkStart w:id="996" w:name="_Toc1839"/>
      <w:bookmarkStart w:id="997" w:name="_Toc29864"/>
      <w:bookmarkStart w:id="998" w:name="_Toc307564899"/>
      <w:bookmarkStart w:id="999" w:name="_Toc308084648"/>
      <w:bookmarkStart w:id="1000" w:name="_Toc32159"/>
      <w:bookmarkStart w:id="1001" w:name="_Toc217446060"/>
      <w:bookmarkStart w:id="1002" w:name="_Toc217446099"/>
      <w:r>
        <w:rPr>
          <w:rFonts w:hint="eastAsia" w:ascii="宋体" w:hAnsi="宋体" w:eastAsia="宋体" w:cs="宋体"/>
          <w:color w:val="auto"/>
          <w:highlight w:val="none"/>
          <w:lang w:val="en-US" w:eastAsia="zh-CN"/>
        </w:rPr>
        <w:t>项目概述</w:t>
      </w:r>
      <w:bookmarkEnd w:id="981"/>
      <w:bookmarkEnd w:id="982"/>
      <w:bookmarkEnd w:id="983"/>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为了丰富馆藏文献资源，保障全院师生教研学习的需要，成都市技师学院(成都工贸职业技术学院)2021年度预计采购纸质图书</w:t>
      </w:r>
      <w:r>
        <w:rPr>
          <w:rFonts w:hint="eastAsia" w:cs="宋体"/>
          <w:color w:val="auto"/>
          <w:kern w:val="0"/>
          <w:sz w:val="21"/>
          <w:szCs w:val="21"/>
          <w:highlight w:val="none"/>
          <w:lang w:val="en-US" w:eastAsia="zh-CN"/>
        </w:rPr>
        <w:t>约</w:t>
      </w:r>
      <w:r>
        <w:rPr>
          <w:rFonts w:hint="eastAsia" w:ascii="宋体" w:hAnsi="宋体" w:eastAsia="宋体" w:cs="宋体"/>
          <w:color w:val="auto"/>
          <w:sz w:val="24"/>
          <w:szCs w:val="24"/>
          <w:highlight w:val="none"/>
          <w:lang w:val="en-US" w:eastAsia="zh-CN"/>
        </w:rPr>
        <w:t>3.5万册，其中专业图书</w:t>
      </w:r>
      <w:r>
        <w:rPr>
          <w:rFonts w:hint="eastAsia" w:cs="宋体"/>
          <w:color w:val="auto"/>
          <w:kern w:val="0"/>
          <w:sz w:val="21"/>
          <w:szCs w:val="21"/>
          <w:highlight w:val="none"/>
          <w:lang w:val="en-US" w:eastAsia="zh-CN"/>
        </w:rPr>
        <w:t>约</w:t>
      </w:r>
      <w:r>
        <w:rPr>
          <w:rFonts w:hint="eastAsia" w:ascii="宋体" w:hAnsi="宋体" w:eastAsia="宋体" w:cs="宋体"/>
          <w:color w:val="auto"/>
          <w:sz w:val="24"/>
          <w:szCs w:val="24"/>
          <w:highlight w:val="none"/>
          <w:lang w:val="en-US" w:eastAsia="zh-CN"/>
        </w:rPr>
        <w:t>2.7万册，文史通识类图书约</w:t>
      </w:r>
      <w:r>
        <w:rPr>
          <w:rFonts w:hint="eastAsia" w:cs="宋体"/>
          <w:color w:val="auto"/>
          <w:kern w:val="0"/>
          <w:sz w:val="21"/>
          <w:szCs w:val="21"/>
          <w:highlight w:val="none"/>
          <w:lang w:val="en-US" w:eastAsia="zh-CN"/>
        </w:rPr>
        <w:t>约</w:t>
      </w:r>
      <w:r>
        <w:rPr>
          <w:rFonts w:hint="eastAsia" w:ascii="宋体" w:hAnsi="宋体" w:eastAsia="宋体" w:cs="宋体"/>
          <w:color w:val="auto"/>
          <w:sz w:val="24"/>
          <w:szCs w:val="24"/>
          <w:highlight w:val="none"/>
          <w:lang w:val="en-US" w:eastAsia="zh-CN"/>
        </w:rPr>
        <w:t>0.8万册。</w:t>
      </w:r>
    </w:p>
    <w:p>
      <w:pPr>
        <w:pStyle w:val="26"/>
        <w:numPr>
          <w:ilvl w:val="1"/>
          <w:numId w:val="11"/>
        </w:numPr>
        <w:bidi w:val="0"/>
        <w:rPr>
          <w:rFonts w:hint="eastAsia" w:ascii="宋体" w:hAnsi="宋体" w:eastAsia="宋体" w:cs="宋体"/>
          <w:color w:val="auto"/>
          <w:highlight w:val="none"/>
        </w:rPr>
      </w:pPr>
      <w:bookmarkStart w:id="1003" w:name="_Toc19759"/>
      <w:bookmarkStart w:id="1004" w:name="_Toc2567_WPSOffice_Level2"/>
      <w:bookmarkStart w:id="1005" w:name="_Toc25039"/>
      <w:r>
        <w:rPr>
          <w:rFonts w:hint="eastAsia" w:ascii="宋体" w:hAnsi="宋体" w:eastAsia="宋体" w:cs="宋体"/>
          <w:color w:val="auto"/>
          <w:highlight w:val="none"/>
          <w:lang w:val="en-US" w:eastAsia="zh-CN"/>
        </w:rPr>
        <w:t>采购清单</w:t>
      </w:r>
      <w:bookmarkEnd w:id="1003"/>
      <w:bookmarkEnd w:id="1004"/>
      <w:bookmarkEnd w:id="1005"/>
    </w:p>
    <w:tbl>
      <w:tblPr>
        <w:tblStyle w:val="20"/>
        <w:tblW w:w="47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840"/>
        <w:gridCol w:w="1166"/>
        <w:gridCol w:w="884"/>
        <w:gridCol w:w="4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 w:type="pct"/>
            <w:vAlign w:val="center"/>
          </w:tcPr>
          <w:p>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宋体" w:hAnsi="宋体" w:eastAsia="宋体" w:cs="宋体"/>
                <w:b/>
                <w:bCs/>
                <w:color w:val="auto"/>
                <w:kern w:val="0"/>
                <w:sz w:val="21"/>
                <w:szCs w:val="21"/>
                <w:highlight w:val="none"/>
                <w:lang w:val="en-US" w:eastAsia="zh-CN"/>
              </w:rPr>
            </w:pPr>
            <w:bookmarkStart w:id="1006" w:name="_Toc12968"/>
            <w:r>
              <w:rPr>
                <w:rFonts w:hint="eastAsia" w:ascii="宋体" w:hAnsi="宋体" w:eastAsia="宋体" w:cs="宋体"/>
                <w:b/>
                <w:bCs/>
                <w:color w:val="auto"/>
                <w:kern w:val="0"/>
                <w:sz w:val="21"/>
                <w:szCs w:val="21"/>
                <w:highlight w:val="none"/>
              </w:rPr>
              <w:t>序号</w:t>
            </w:r>
          </w:p>
        </w:tc>
        <w:tc>
          <w:tcPr>
            <w:tcW w:w="972" w:type="pct"/>
            <w:vAlign w:val="center"/>
          </w:tcPr>
          <w:p>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名称</w:t>
            </w:r>
          </w:p>
        </w:tc>
        <w:tc>
          <w:tcPr>
            <w:tcW w:w="616" w:type="pct"/>
            <w:vAlign w:val="center"/>
          </w:tcPr>
          <w:p>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数量</w:t>
            </w:r>
          </w:p>
        </w:tc>
        <w:tc>
          <w:tcPr>
            <w:tcW w:w="467" w:type="pct"/>
            <w:vAlign w:val="center"/>
          </w:tcPr>
          <w:p>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单位</w:t>
            </w:r>
          </w:p>
        </w:tc>
        <w:tc>
          <w:tcPr>
            <w:tcW w:w="2593" w:type="pct"/>
            <w:vAlign w:val="center"/>
          </w:tcPr>
          <w:p>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rPr>
              <w:t>1</w:t>
            </w:r>
          </w:p>
        </w:tc>
        <w:tc>
          <w:tcPr>
            <w:tcW w:w="97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rPr>
              <w:t>专业图书</w:t>
            </w:r>
          </w:p>
        </w:tc>
        <w:tc>
          <w:tcPr>
            <w:tcW w:w="616"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万</w:t>
            </w:r>
          </w:p>
        </w:tc>
        <w:tc>
          <w:tcPr>
            <w:tcW w:w="46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rPr>
              <w:t>册</w:t>
            </w:r>
          </w:p>
        </w:tc>
        <w:tc>
          <w:tcPr>
            <w:tcW w:w="2593"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rPr>
              <w:t>正版图书，含图书编目加工和运输。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49"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rPr>
              <w:t>2</w:t>
            </w:r>
          </w:p>
        </w:tc>
        <w:tc>
          <w:tcPr>
            <w:tcW w:w="972"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rPr>
              <w:t>文艺</w:t>
            </w:r>
            <w:r>
              <w:rPr>
                <w:rFonts w:hint="eastAsia" w:ascii="宋体" w:hAnsi="宋体" w:eastAsia="宋体" w:cs="宋体"/>
                <w:color w:val="auto"/>
                <w:kern w:val="0"/>
                <w:sz w:val="21"/>
                <w:szCs w:val="21"/>
                <w:highlight w:val="none"/>
                <w:lang w:eastAsia="zh-CN"/>
              </w:rPr>
              <w:t>通识类</w:t>
            </w:r>
            <w:r>
              <w:rPr>
                <w:rFonts w:hint="eastAsia" w:ascii="宋体" w:hAnsi="宋体" w:eastAsia="宋体" w:cs="宋体"/>
                <w:color w:val="auto"/>
                <w:kern w:val="0"/>
                <w:sz w:val="21"/>
                <w:szCs w:val="21"/>
                <w:highlight w:val="none"/>
              </w:rPr>
              <w:t>图书</w:t>
            </w:r>
          </w:p>
        </w:tc>
        <w:tc>
          <w:tcPr>
            <w:tcW w:w="616"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rPr>
              <w:t>0.8万</w:t>
            </w:r>
          </w:p>
        </w:tc>
        <w:tc>
          <w:tcPr>
            <w:tcW w:w="467"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rPr>
              <w:t>册</w:t>
            </w:r>
          </w:p>
        </w:tc>
        <w:tc>
          <w:tcPr>
            <w:tcW w:w="2593" w:type="pct"/>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rPr>
              <w:t>正版图书，含图书编目加工和运输。</w:t>
            </w:r>
          </w:p>
        </w:tc>
      </w:tr>
    </w:tbl>
    <w:p>
      <w:pPr>
        <w:pStyle w:val="26"/>
        <w:numPr>
          <w:ilvl w:val="1"/>
          <w:numId w:val="11"/>
        </w:numPr>
        <w:bidi w:val="0"/>
        <w:rPr>
          <w:rFonts w:hint="eastAsia" w:ascii="宋体" w:hAnsi="宋体" w:eastAsia="宋体" w:cs="宋体"/>
          <w:color w:val="auto"/>
          <w:highlight w:val="none"/>
        </w:rPr>
      </w:pPr>
      <w:bookmarkStart w:id="1007" w:name="_Toc1786"/>
      <w:r>
        <w:rPr>
          <w:rFonts w:hint="eastAsia" w:ascii="宋体" w:hAnsi="宋体" w:eastAsia="宋体" w:cs="宋体"/>
          <w:color w:val="auto"/>
          <w:highlight w:val="none"/>
          <w:lang w:val="en-US" w:eastAsia="zh-CN"/>
        </w:rPr>
        <w:t>技术</w:t>
      </w:r>
      <w:bookmarkEnd w:id="1006"/>
      <w:r>
        <w:rPr>
          <w:rFonts w:hint="eastAsia" w:ascii="宋体" w:hAnsi="宋体" w:eastAsia="宋体" w:cs="宋体"/>
          <w:color w:val="auto"/>
          <w:highlight w:val="none"/>
          <w:lang w:val="en-US" w:eastAsia="zh-CN"/>
        </w:rPr>
        <w:t>、服务要求</w:t>
      </w:r>
      <w:bookmarkEnd w:id="1007"/>
    </w:p>
    <w:p>
      <w:pPr>
        <w:keepNext w:val="0"/>
        <w:keepLines w:val="0"/>
        <w:pageBreakBefore w:val="0"/>
        <w:widowControl w:val="0"/>
        <w:kinsoku/>
        <w:wordWrap w:val="0"/>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bookmarkStart w:id="1008" w:name="_Toc27497"/>
      <w:bookmarkStart w:id="1009" w:name="_Toc6974"/>
      <w:bookmarkStart w:id="1010" w:name="_Toc12739"/>
      <w:bookmarkStart w:id="1011" w:name="_Toc9683"/>
      <w:bookmarkStart w:id="1012" w:name="_Toc8752_WPSOffice_Level2"/>
      <w:bookmarkStart w:id="1013" w:name="_Toc7101"/>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所提供的图书品种应当符合中华人民共和国相关的出版发行法律法规的规定，确保不提供非法出版物。如发现提供非法出版物，一经查实，该</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除该负社会和法律责任外，还须支付采购人购买该种图书总码洋10倍的违约金，同时采购人有权</w:t>
      </w:r>
      <w:r>
        <w:rPr>
          <w:rFonts w:hint="eastAsia" w:cs="宋体"/>
          <w:color w:val="auto"/>
          <w:sz w:val="24"/>
          <w:szCs w:val="24"/>
          <w:highlight w:val="none"/>
          <w:lang w:val="en-US" w:eastAsia="zh-CN"/>
        </w:rPr>
        <w:t>单方面</w:t>
      </w:r>
      <w:r>
        <w:rPr>
          <w:rFonts w:hint="eastAsia" w:ascii="宋体" w:hAnsi="宋体" w:eastAsia="宋体" w:cs="宋体"/>
          <w:color w:val="auto"/>
          <w:sz w:val="24"/>
          <w:szCs w:val="24"/>
          <w:highlight w:val="none"/>
        </w:rPr>
        <w:t>终止合同。</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图书类型</w:t>
      </w:r>
      <w:r>
        <w:rPr>
          <w:rFonts w:hint="eastAsia" w:ascii="宋体" w:hAnsi="宋体" w:eastAsia="宋体" w:cs="宋体"/>
          <w:color w:val="auto"/>
          <w:sz w:val="24"/>
          <w:szCs w:val="24"/>
          <w:highlight w:val="none"/>
          <w:lang w:val="en-US" w:eastAsia="zh-CN"/>
        </w:rPr>
        <w:t>及年限要求</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1.供应商</w:t>
      </w: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eastAsia="zh-CN"/>
        </w:rPr>
        <w:t>2019年1月1日(含1日)</w:t>
      </w:r>
      <w:r>
        <w:rPr>
          <w:rFonts w:hint="eastAsia" w:ascii="宋体" w:hAnsi="宋体" w:eastAsia="宋体" w:cs="宋体"/>
          <w:color w:val="auto"/>
          <w:sz w:val="24"/>
          <w:szCs w:val="24"/>
          <w:highlight w:val="none"/>
          <w:lang w:val="en-US" w:eastAsia="zh-CN"/>
        </w:rPr>
        <w:t>以来</w:t>
      </w:r>
      <w:r>
        <w:rPr>
          <w:rFonts w:hint="eastAsia" w:ascii="宋体" w:hAnsi="宋体" w:eastAsia="宋体" w:cs="宋体"/>
          <w:color w:val="auto"/>
          <w:sz w:val="24"/>
          <w:szCs w:val="24"/>
          <w:highlight w:val="none"/>
        </w:rPr>
        <w:t>国内出版</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适用专业书出版年限可在</w:t>
      </w:r>
      <w:r>
        <w:rPr>
          <w:rFonts w:hint="eastAsia" w:ascii="宋体" w:hAnsi="宋体" w:eastAsia="宋体" w:cs="宋体"/>
          <w:color w:val="auto"/>
          <w:sz w:val="24"/>
          <w:szCs w:val="24"/>
          <w:highlight w:val="none"/>
        </w:rPr>
        <w:t>2019年以前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占比不超过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出版</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的中文图书正式出版物。</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本次采购的专业类图书主要是非教材正版专业图书，</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提供的非教材正版专业图书要适用于采购人现有专业，专业目录详见采购人校园网招生简章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链接地址：http://zsx.cdgmxy.com/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严格按照采购计划图书范围和数量配书，保证</w:t>
      </w:r>
      <w:r>
        <w:rPr>
          <w:rFonts w:hint="eastAsia" w:ascii="宋体" w:hAnsi="宋体" w:eastAsia="宋体" w:cs="宋体"/>
          <w:color w:val="auto"/>
          <w:sz w:val="24"/>
          <w:szCs w:val="24"/>
          <w:highlight w:val="none"/>
          <w:lang w:eastAsia="zh-CN"/>
        </w:rPr>
        <w:t>专业图书类型采购计划</w:t>
      </w:r>
      <w:r>
        <w:rPr>
          <w:rFonts w:hint="eastAsia" w:ascii="宋体" w:hAnsi="宋体" w:eastAsia="宋体" w:cs="宋体"/>
          <w:color w:val="auto"/>
          <w:sz w:val="24"/>
          <w:szCs w:val="24"/>
          <w:highlight w:val="none"/>
        </w:rPr>
        <w:t>到货率不低于9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tbl>
      <w:tblPr>
        <w:tblStyle w:val="20"/>
        <w:tblW w:w="46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8"/>
        <w:gridCol w:w="1669"/>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00" w:type="pct"/>
            <w:gridSpan w:val="3"/>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专业图书类型采购计划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99"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图书类型</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最新出版</w:t>
            </w:r>
            <w:r>
              <w:rPr>
                <w:rFonts w:hint="eastAsia" w:ascii="宋体" w:hAnsi="宋体" w:eastAsia="宋体" w:cs="宋体"/>
                <w:b/>
                <w:bCs/>
                <w:color w:val="auto"/>
                <w:sz w:val="21"/>
                <w:szCs w:val="21"/>
                <w:highlight w:val="none"/>
                <w:lang w:eastAsia="zh-CN"/>
              </w:rPr>
              <w:t>)</w:t>
            </w:r>
          </w:p>
        </w:tc>
        <w:tc>
          <w:tcPr>
            <w:tcW w:w="907"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类别</w:t>
            </w:r>
          </w:p>
        </w:tc>
        <w:tc>
          <w:tcPr>
            <w:tcW w:w="1393"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计划册数</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册</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9"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电气自动化、工业机器人技术</w:t>
            </w:r>
          </w:p>
        </w:tc>
        <w:tc>
          <w:tcPr>
            <w:tcW w:w="907"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T类</w:t>
            </w:r>
          </w:p>
        </w:tc>
        <w:tc>
          <w:tcPr>
            <w:tcW w:w="1393"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9"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材料成型与控制技术</w:t>
            </w:r>
          </w:p>
        </w:tc>
        <w:tc>
          <w:tcPr>
            <w:tcW w:w="907"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T类</w:t>
            </w:r>
          </w:p>
        </w:tc>
        <w:tc>
          <w:tcPr>
            <w:tcW w:w="1393"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9"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数控、3D打印、焊接机械类</w:t>
            </w:r>
          </w:p>
        </w:tc>
        <w:tc>
          <w:tcPr>
            <w:tcW w:w="907"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T类</w:t>
            </w:r>
          </w:p>
        </w:tc>
        <w:tc>
          <w:tcPr>
            <w:tcW w:w="1393"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9"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智能制造、航空发动机技术</w:t>
            </w:r>
          </w:p>
        </w:tc>
        <w:tc>
          <w:tcPr>
            <w:tcW w:w="907"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T类、V类</w:t>
            </w:r>
          </w:p>
        </w:tc>
        <w:tc>
          <w:tcPr>
            <w:tcW w:w="1393"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9"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物联网技术、计算机技术、网络技术、数字媒体技术、信息安全技术</w:t>
            </w:r>
          </w:p>
        </w:tc>
        <w:tc>
          <w:tcPr>
            <w:tcW w:w="907"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TN类、TP类</w:t>
            </w:r>
          </w:p>
        </w:tc>
        <w:tc>
          <w:tcPr>
            <w:tcW w:w="1393"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9"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建筑智能化工程技术、楼宇自动化</w:t>
            </w:r>
          </w:p>
        </w:tc>
        <w:tc>
          <w:tcPr>
            <w:tcW w:w="907"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U类</w:t>
            </w:r>
          </w:p>
        </w:tc>
        <w:tc>
          <w:tcPr>
            <w:tcW w:w="1393"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9"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机电一体化技术</w:t>
            </w:r>
          </w:p>
        </w:tc>
        <w:tc>
          <w:tcPr>
            <w:tcW w:w="907"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T类</w:t>
            </w:r>
          </w:p>
        </w:tc>
        <w:tc>
          <w:tcPr>
            <w:tcW w:w="1393"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9"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应用电子技术</w:t>
            </w:r>
          </w:p>
        </w:tc>
        <w:tc>
          <w:tcPr>
            <w:tcW w:w="907"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T类</w:t>
            </w:r>
          </w:p>
        </w:tc>
        <w:tc>
          <w:tcPr>
            <w:tcW w:w="1393"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9"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铁路桥梁与隧道工程技术、铁道工程技术、工程测量技术</w:t>
            </w:r>
          </w:p>
        </w:tc>
        <w:tc>
          <w:tcPr>
            <w:tcW w:w="907"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U类</w:t>
            </w:r>
          </w:p>
        </w:tc>
        <w:tc>
          <w:tcPr>
            <w:tcW w:w="1393"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9"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高铁综合维修技术</w:t>
            </w:r>
          </w:p>
        </w:tc>
        <w:tc>
          <w:tcPr>
            <w:tcW w:w="907"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U类</w:t>
            </w:r>
          </w:p>
        </w:tc>
        <w:tc>
          <w:tcPr>
            <w:tcW w:w="1393"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9"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城市轨道交通机电技术、交通通信信号技术、运营与服务</w:t>
            </w:r>
          </w:p>
        </w:tc>
        <w:tc>
          <w:tcPr>
            <w:tcW w:w="907"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U类</w:t>
            </w:r>
          </w:p>
        </w:tc>
        <w:tc>
          <w:tcPr>
            <w:tcW w:w="1393"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9"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幼儿教育、幼儿发展与健康管理、管理、财务、贸易</w:t>
            </w:r>
          </w:p>
        </w:tc>
        <w:tc>
          <w:tcPr>
            <w:tcW w:w="907"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G类、R类</w:t>
            </w:r>
          </w:p>
        </w:tc>
        <w:tc>
          <w:tcPr>
            <w:tcW w:w="1393"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9"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采购与供应链管理、航空物流</w:t>
            </w:r>
          </w:p>
        </w:tc>
        <w:tc>
          <w:tcPr>
            <w:tcW w:w="907"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F类</w:t>
            </w:r>
          </w:p>
        </w:tc>
        <w:tc>
          <w:tcPr>
            <w:tcW w:w="1393"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9"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国际商务、电子商务、电商直播</w:t>
            </w:r>
          </w:p>
        </w:tc>
        <w:tc>
          <w:tcPr>
            <w:tcW w:w="907"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F类</w:t>
            </w:r>
          </w:p>
        </w:tc>
        <w:tc>
          <w:tcPr>
            <w:tcW w:w="1393"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9"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新能源汽车技术、汽车维修与养护、汽车智能技术、车联网技术</w:t>
            </w:r>
          </w:p>
        </w:tc>
        <w:tc>
          <w:tcPr>
            <w:tcW w:w="907"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 类</w:t>
            </w:r>
          </w:p>
        </w:tc>
        <w:tc>
          <w:tcPr>
            <w:tcW w:w="1393" w:type="pct"/>
            <w:vAlign w:val="center"/>
          </w:tcPr>
          <w:p>
            <w:pPr>
              <w:keepNext w:val="0"/>
              <w:keepLines w:val="0"/>
              <w:pageBreakBefore w:val="0"/>
              <w:widowControl w:val="0"/>
              <w:kinsoku/>
              <w:wordWrap w:val="0"/>
              <w:overflowPunct/>
              <w:topLinePunct w:val="0"/>
              <w:autoSpaceDE w:val="0"/>
              <w:autoSpaceDN w:val="0"/>
              <w:bidi w:val="0"/>
              <w:adjustRightInd w:val="0"/>
              <w:snapToGrid w:val="0"/>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w:t>
            </w:r>
          </w:p>
        </w:tc>
      </w:tr>
    </w:tbl>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文史通识类图书主要提供包括</w:t>
      </w:r>
      <w:r>
        <w:rPr>
          <w:rFonts w:hint="eastAsia" w:ascii="宋体" w:hAnsi="宋体" w:eastAsia="宋体" w:cs="宋体"/>
          <w:color w:val="auto"/>
          <w:sz w:val="24"/>
          <w:szCs w:val="24"/>
          <w:highlight w:val="none"/>
          <w:lang w:eastAsia="zh-CN"/>
        </w:rPr>
        <w:t>教学管理、专业建设、课程</w:t>
      </w:r>
      <w:r>
        <w:rPr>
          <w:rFonts w:hint="eastAsia" w:ascii="宋体" w:hAnsi="宋体" w:eastAsia="宋体" w:cs="宋体"/>
          <w:color w:val="auto"/>
          <w:sz w:val="24"/>
          <w:szCs w:val="24"/>
          <w:highlight w:val="none"/>
        </w:rPr>
        <w:t>思政、</w:t>
      </w:r>
      <w:r>
        <w:rPr>
          <w:rFonts w:hint="eastAsia" w:ascii="宋体" w:hAnsi="宋体" w:eastAsia="宋体" w:cs="宋体"/>
          <w:color w:val="auto"/>
          <w:sz w:val="24"/>
          <w:szCs w:val="24"/>
          <w:highlight w:val="none"/>
          <w:lang w:eastAsia="zh-CN"/>
        </w:rPr>
        <w:t>党史类、</w:t>
      </w:r>
      <w:r>
        <w:rPr>
          <w:rFonts w:hint="eastAsia" w:ascii="宋体" w:hAnsi="宋体" w:eastAsia="宋体" w:cs="宋体"/>
          <w:color w:val="auto"/>
          <w:sz w:val="24"/>
          <w:szCs w:val="24"/>
          <w:highlight w:val="none"/>
        </w:rPr>
        <w:t>公共基础课、心理学、职业教育、文学、历史、科普等通识类</w:t>
      </w:r>
      <w:r>
        <w:rPr>
          <w:rFonts w:hint="eastAsia" w:ascii="宋体" w:hAnsi="宋体" w:eastAsia="宋体" w:cs="宋体"/>
          <w:color w:val="auto"/>
          <w:sz w:val="24"/>
          <w:szCs w:val="24"/>
          <w:highlight w:val="none"/>
          <w:lang w:eastAsia="zh-CN"/>
        </w:rPr>
        <w:t>畅销</w:t>
      </w:r>
      <w:r>
        <w:rPr>
          <w:rFonts w:hint="eastAsia" w:ascii="宋体" w:hAnsi="宋体" w:eastAsia="宋体" w:cs="宋体"/>
          <w:color w:val="auto"/>
          <w:sz w:val="24"/>
          <w:szCs w:val="24"/>
          <w:highlight w:val="none"/>
        </w:rPr>
        <w:t>图书。</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每个品种图书供应册数为2册，经采购人单独要求增加复本数的图书除外。</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书目及订单提交</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1.▲供应商在合同签订后5个日历天内提供第一批新书书目，此后合同期内每两周按采购人要求提供至少包括机械工业出版社、电子工业出版社、人民交通出版社、中国铁道出版社等</w:t>
      </w:r>
      <w:r>
        <w:rPr>
          <w:rFonts w:hint="eastAsia" w:cs="宋体"/>
          <w:color w:val="auto"/>
          <w:sz w:val="24"/>
          <w:szCs w:val="24"/>
          <w:highlight w:val="none"/>
          <w:lang w:val="en-US" w:eastAsia="zh-CN"/>
        </w:rPr>
        <w:t>出版社出版的</w:t>
      </w:r>
      <w:r>
        <w:rPr>
          <w:rFonts w:hint="eastAsia" w:ascii="宋体" w:hAnsi="宋体" w:eastAsia="宋体" w:cs="宋体"/>
          <w:color w:val="auto"/>
          <w:sz w:val="24"/>
          <w:szCs w:val="24"/>
          <w:highlight w:val="none"/>
          <w:lang w:val="en-US" w:eastAsia="zh-CN"/>
        </w:rPr>
        <w:t>2020年新书目录(具体出版社清单由采购人每批次</w:t>
      </w:r>
      <w:r>
        <w:rPr>
          <w:rFonts w:hint="eastAsia" w:cs="宋体"/>
          <w:color w:val="auto"/>
          <w:sz w:val="24"/>
          <w:szCs w:val="24"/>
          <w:highlight w:val="none"/>
          <w:lang w:val="en-US" w:eastAsia="zh-CN"/>
        </w:rPr>
        <w:t>另行</w:t>
      </w:r>
      <w:r>
        <w:rPr>
          <w:rFonts w:hint="eastAsia" w:ascii="宋体" w:hAnsi="宋体" w:eastAsia="宋体" w:cs="宋体"/>
          <w:color w:val="auto"/>
          <w:sz w:val="24"/>
          <w:szCs w:val="24"/>
          <w:highlight w:val="none"/>
          <w:lang w:val="en-US" w:eastAsia="zh-CN"/>
        </w:rPr>
        <w:t>提供)，书目不得与采购人馆藏书目重复，采购人每批订单选定后，供应商须在收到采购人确定清单后，3个日历天内反馈配货情况，汇总确认订单配送比例不低于95%。</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2.▲供应商提供图书电子版书目质量要求。供应商提供和采购人需求专业相匹配、符合大学及以上读者的阅读需求</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2019年1月1日(含1日)以后出版的最新书目，书目精选出版市场专业前沿畅销的优质图书。同时，受理采购人依据其他来源发送的图书订单。</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3.▲供应商在处理订单时，有下列情况之一</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要以电子邮件形式征询采购人意见：</w:t>
      </w:r>
      <w:r>
        <w:rPr>
          <w:rFonts w:hint="eastAsia" w:cs="宋体"/>
          <w:color w:val="auto"/>
          <w:sz w:val="24"/>
          <w:szCs w:val="24"/>
          <w:highlight w:val="none"/>
          <w:lang w:val="en-US" w:eastAsia="zh-CN"/>
        </w:rPr>
        <w:t>供应商每批次提供的图书</w:t>
      </w:r>
      <w:r>
        <w:rPr>
          <w:rFonts w:hint="eastAsia" w:ascii="宋体" w:hAnsi="宋体" w:eastAsia="宋体" w:cs="宋体"/>
          <w:color w:val="auto"/>
          <w:sz w:val="24"/>
          <w:szCs w:val="24"/>
          <w:highlight w:val="none"/>
          <w:lang w:val="en-US" w:eastAsia="zh-CN"/>
        </w:rPr>
        <w:t>实际</w:t>
      </w:r>
      <w:r>
        <w:rPr>
          <w:rFonts w:hint="eastAsia" w:cs="宋体"/>
          <w:color w:val="auto"/>
          <w:sz w:val="24"/>
          <w:szCs w:val="24"/>
          <w:highlight w:val="none"/>
          <w:lang w:val="en-US" w:eastAsia="zh-CN"/>
        </w:rPr>
        <w:t>码洋总价</w:t>
      </w:r>
      <w:r>
        <w:rPr>
          <w:rFonts w:hint="eastAsia" w:ascii="宋体" w:hAnsi="宋体" w:eastAsia="宋体" w:cs="宋体"/>
          <w:color w:val="auto"/>
          <w:sz w:val="24"/>
          <w:szCs w:val="24"/>
          <w:highlight w:val="none"/>
          <w:lang w:val="en-US" w:eastAsia="zh-CN"/>
        </w:rPr>
        <w:t>超出订单</w:t>
      </w:r>
      <w:r>
        <w:rPr>
          <w:rFonts w:hint="eastAsia" w:cs="宋体"/>
          <w:color w:val="auto"/>
          <w:sz w:val="24"/>
          <w:szCs w:val="24"/>
          <w:highlight w:val="none"/>
          <w:lang w:val="en-US" w:eastAsia="zh-CN"/>
        </w:rPr>
        <w:t>码洋总价</w:t>
      </w:r>
      <w:r>
        <w:rPr>
          <w:rFonts w:hint="eastAsia" w:ascii="宋体" w:hAnsi="宋体" w:eastAsia="宋体" w:cs="宋体"/>
          <w:color w:val="auto"/>
          <w:sz w:val="24"/>
          <w:szCs w:val="24"/>
          <w:highlight w:val="none"/>
          <w:lang w:val="en-US" w:eastAsia="zh-CN"/>
        </w:rPr>
        <w:t>15％、图书(单本单价)100元以上且复本在2册以上的须采购人确认是否采购。若ISBN或书名与预订单不一致，或采访数据中书名及价格(差价过大)与实洋不符合</w:t>
      </w:r>
      <w:r>
        <w:rPr>
          <w:rFonts w:hint="eastAsia" w:cs="宋体"/>
          <w:color w:val="auto"/>
          <w:sz w:val="24"/>
          <w:szCs w:val="24"/>
          <w:highlight w:val="none"/>
          <w:lang w:val="en-US" w:eastAsia="zh-CN"/>
        </w:rPr>
        <w:t>。未</w:t>
      </w:r>
      <w:r>
        <w:rPr>
          <w:rFonts w:hint="eastAsia" w:ascii="宋体" w:hAnsi="宋体" w:eastAsia="宋体" w:cs="宋体"/>
          <w:color w:val="auto"/>
          <w:sz w:val="24"/>
          <w:szCs w:val="24"/>
          <w:highlight w:val="none"/>
          <w:lang w:val="en-US" w:eastAsia="zh-CN"/>
        </w:rPr>
        <w:t>征询采购人</w:t>
      </w:r>
      <w:r>
        <w:rPr>
          <w:rFonts w:hint="eastAsia" w:cs="宋体"/>
          <w:color w:val="auto"/>
          <w:sz w:val="24"/>
          <w:szCs w:val="24"/>
          <w:highlight w:val="none"/>
          <w:lang w:val="en-US" w:eastAsia="zh-CN"/>
        </w:rPr>
        <w:t>同意的，采购人</w:t>
      </w:r>
      <w:r>
        <w:rPr>
          <w:rFonts w:hint="eastAsia" w:ascii="宋体" w:hAnsi="宋体" w:eastAsia="宋体" w:cs="宋体"/>
          <w:color w:val="auto"/>
          <w:sz w:val="24"/>
          <w:szCs w:val="24"/>
          <w:highlight w:val="none"/>
          <w:lang w:val="en-US" w:eastAsia="zh-CN"/>
        </w:rPr>
        <w:t>有权拒收。若订单载体不清楚，或以光盘、磁带等为主要载体的非纸质载体的资料，采购人有权拒收。</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4.▲供应商在提供连续出版、多卷(集)图书时，同时需提供全面信息，包括总题名、分题名、总书号、分册书号、全书价格、分册价格等，1000元/套以上的，还要提供该书出版情况的全面介绍。</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5.▲经采购人确定订单后供应商须严格按照订单供货。图书配送到馆后2个工作日内，将对应的书目数据包(CNMARC)以及对应的书目数据电子清单(excel表格)发送至采购人指定邮箱，数据配送率达到100%。</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6.▲供应商不得更换图书订单，不得搭配非采购人订购的图书。</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440" w:lineRule="exact"/>
        <w:ind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(四)★图书质量要求</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1.图书定价须正规渠道正规定价，不得出现不实定价。若有同版本同印次图书价格虚高的，一经查出采购人有权拒付供应商所有书款并终止合同。</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图书的印刷质量要符合《中华人民共和国产品质量法》及新闻出版总署公布的自2005年3月1日起施行的《图书质量管理规定》相关规定。供应商保证图书进货质量，提供的图书都是从国家正规出版社订购合法出版物。供应商所供图书出现开胶、缺页、倒装、</w:t>
      </w:r>
      <w:r>
        <w:rPr>
          <w:rFonts w:hint="eastAsia" w:ascii="宋体" w:hAnsi="宋体" w:eastAsia="宋体" w:cs="宋体"/>
          <w:color w:val="auto"/>
          <w:kern w:val="0"/>
          <w:sz w:val="24"/>
          <w:szCs w:val="24"/>
          <w:highlight w:val="none"/>
          <w:lang w:val="en-US" w:eastAsia="zh-CN"/>
        </w:rPr>
        <w:t>残页、污损</w:t>
      </w:r>
      <w:r>
        <w:rPr>
          <w:rFonts w:hint="eastAsia" w:ascii="宋体" w:hAnsi="宋体" w:eastAsia="宋体" w:cs="宋体"/>
          <w:color w:val="auto"/>
          <w:sz w:val="24"/>
          <w:szCs w:val="24"/>
          <w:highlight w:val="none"/>
          <w:lang w:val="en-US" w:eastAsia="zh-CN"/>
        </w:rPr>
        <w:t>等质量问题，须在收到采购人通知后3个工作日内免费调换。</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(五)★图书编目加工要求</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1.编目数据遵循《中国图书分类法第五版》和《专著出版物国际标准书目著录》(ISBD，CALIS数据标准)。按照标准的CN MARC格式提供所购图书的编目数据(数据要求参见《中国机读目录格式使用手册》、《CALIS联机合作编目手册》)，ISBN、书名、卷册名、版本、丛书名、著者、译者、出版社、出版时间、定价、分类号、读者对象、内容简介、开本、页码、装帧、必备字段。</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各字段格式说明：ISBN：须提供13位或10位数字，带杠。例如，978-7-5446-1007-0 或7-80101-977-6。</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版本：须采用的格式为“01 版”、“02 版”…“20 版”、“修订版”。</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2.供应商所提供的数据能在采购人图书管理系统无障碍使用，并按采购人要求提供馆藏数据制作。编目数据应与图书同步或提前到馆，并达到100%的覆盖率。</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3.供应商必须将所有图书编目加工完毕后送到采购人指定地点，采购人只提供图书存放场地。</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(六)▲加工材料要求</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供应商负责图书查重、编目、著录、贴磁条、盖馆藏章等加工服务。</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条码：采用艾利纸、半树半蜡型碳带，Code128码打印；规格：48mm×18mm；打印字体：宋体、加粗、10号；</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书标：每册图书贴两个书标，书名页一个，书脊一个；采用艾利纸，激光打印机打印；规格：40mm×30mm；打印字体：宋体、加粗、16号。</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书标保护膜：采用透明胶带；规格：38mm宽，粘性强，透明度高。</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图书馆藏章印油：快干清洁印油。</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磁条：钴基复合双面胶磁条，可充、消磁，规格：16cm；RFID磁条型号为XCTF8102B型，磁条粘贴在不确定页缝。粘贴位置应在距离图书上端5mm左右，磁条天线朝书脊方向。</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光盘：编目加工应完成随时光盘的编目加工，并在编目数据里注明。光盘须从图书中取出，盘面须贴对应图书的索书号标签，集中装入光盘盒，形成光盘电子表格清单，和该批次图书同时送货。</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工要求：书标的粘贴：书名页的书标贴于书名页上方1/3处(不遮挡文字)，书标与书名页上方边缘间隔5mm；书脊的书标右边缘与书脊下边缘齐平，索书号部分处于书脊面正中，贴好后，用透明胶布覆盖整个书标进行固定，带包装的图书，其书本身和包装上均要贴书标。馆藏章3枚，书名页空白处一个，书口一个，书尾页一个。尽量盖在页面空白处。</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(七)★实施团队及技术人员要求</w:t>
      </w:r>
    </w:p>
    <w:p>
      <w:pPr>
        <w:keepNext w:val="0"/>
        <w:keepLines w:val="0"/>
        <w:pageBreakBefore w:val="0"/>
        <w:widowControl w:val="0"/>
        <w:kinsoku/>
        <w:wordWrap w:val="0"/>
        <w:overflowPunct/>
        <w:autoSpaceDE w:val="0"/>
        <w:autoSpaceDN w:val="0"/>
        <w:bidi w:val="0"/>
        <w:adjustRightInd w:val="0"/>
        <w:snapToGrid w:val="0"/>
        <w:spacing w:line="440" w:lineRule="exact"/>
        <w:ind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供应商须配备具有编目专业技术能力人员不少于5人，编目专业技术人员队伍应有国家图书馆编目员上岗证书</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保证图书采购、编目加工、上架等有序进行。图书及加工质量等方面的有问题时，供应商应在收到采购人的通知后2小时内响应</w:t>
      </w:r>
      <w:r>
        <w:rPr>
          <w:rFonts w:hint="eastAsia" w:ascii="宋体" w:hAnsi="宋体" w:eastAsia="宋体" w:cs="宋体"/>
          <w:b/>
          <w:bCs/>
          <w:color w:val="auto"/>
          <w:sz w:val="24"/>
          <w:szCs w:val="24"/>
          <w:highlight w:val="none"/>
          <w:lang w:val="en-US" w:eastAsia="zh-CN"/>
        </w:rPr>
        <w:t>(投标人须在其他投标文件中单独对本项要求以承诺函的形式作出响应，并提供人员清单及相关证明材料)</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(八)▲图书的纸质清单要随</w:t>
      </w:r>
      <w:r>
        <w:rPr>
          <w:rFonts w:hint="eastAsia" w:cs="宋体"/>
          <w:color w:val="auto"/>
          <w:sz w:val="24"/>
          <w:szCs w:val="24"/>
          <w:highlight w:val="none"/>
          <w:lang w:val="en-US" w:eastAsia="zh-CN"/>
        </w:rPr>
        <w:t>图</w:t>
      </w:r>
      <w:r>
        <w:rPr>
          <w:rFonts w:hint="eastAsia" w:ascii="宋体" w:hAnsi="宋体" w:eastAsia="宋体" w:cs="宋体"/>
          <w:color w:val="auto"/>
          <w:sz w:val="24"/>
          <w:szCs w:val="24"/>
          <w:highlight w:val="none"/>
          <w:lang w:val="en-US" w:eastAsia="zh-CN"/>
        </w:rPr>
        <w:t>书送达，每包图书要有编号，包内附2份清单。每批图书要有2份总清单(随该批图书同时到达)，总清单内标明每种图书所在的包号。同种图书必须同一批到馆，并放在同一个包内。电子清单应在配货时同时发送(电子清单的格式除包含纸质清单的内容，还需增加“折扣”和“实洋”)。</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(九)▲每包图书的</w:t>
      </w:r>
      <w:r>
        <w:rPr>
          <w:rFonts w:hint="eastAsia" w:cs="宋体"/>
          <w:color w:val="auto"/>
          <w:sz w:val="24"/>
          <w:szCs w:val="24"/>
          <w:highlight w:val="none"/>
          <w:lang w:val="en-US" w:eastAsia="zh-CN"/>
        </w:rPr>
        <w:t>总</w:t>
      </w:r>
      <w:r>
        <w:rPr>
          <w:rFonts w:hint="eastAsia" w:ascii="宋体" w:hAnsi="宋体" w:eastAsia="宋体" w:cs="宋体"/>
          <w:color w:val="auto"/>
          <w:sz w:val="24"/>
          <w:szCs w:val="24"/>
          <w:highlight w:val="none"/>
          <w:lang w:val="en-US" w:eastAsia="zh-CN"/>
        </w:rPr>
        <w:t>册数、金额必须与对应的清单相符。每批图书</w:t>
      </w:r>
      <w:r>
        <w:rPr>
          <w:rFonts w:hint="eastAsia" w:cs="宋体"/>
          <w:color w:val="auto"/>
          <w:sz w:val="24"/>
          <w:szCs w:val="24"/>
          <w:highlight w:val="none"/>
          <w:lang w:val="en-US" w:eastAsia="zh-CN"/>
        </w:rPr>
        <w:t>总</w:t>
      </w:r>
      <w:r>
        <w:rPr>
          <w:rFonts w:hint="eastAsia" w:ascii="宋体" w:hAnsi="宋体" w:eastAsia="宋体" w:cs="宋体"/>
          <w:color w:val="auto"/>
          <w:sz w:val="24"/>
          <w:szCs w:val="24"/>
          <w:highlight w:val="none"/>
          <w:lang w:val="en-US" w:eastAsia="zh-CN"/>
        </w:rPr>
        <w:t>册数、总价必须与总清单相符。如果在验收过程中，同一批次图书出现5%与采购人确认的清单不符，采购人有权退回该批次全部图书，供应商须在5个工作日内日完成补充送货，逾期或者不能按要求提供图书的则视为供应商违约。</w:t>
      </w:r>
    </w:p>
    <w:p>
      <w:pPr>
        <w:keepNext w:val="0"/>
        <w:keepLines w:val="0"/>
        <w:pageBreakBefore w:val="0"/>
        <w:widowControl w:val="0"/>
        <w:kinsoku/>
        <w:wordWrap w:val="0"/>
        <w:overflowPunct/>
        <w:topLinePunct w:val="0"/>
        <w:autoSpaceDE w:val="0"/>
        <w:autoSpaceDN w:val="0"/>
        <w:bidi w:val="0"/>
        <w:adjustRightInd w:val="0"/>
        <w:snapToGrid w:val="0"/>
        <w:spacing w:line="44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以下图书为采购人馆配不需要的：磁带、64开本(含64开)、卷式、卡片、册式、小32开本、挂图、少儿、中小学、试卷散页等，以上各种图书即使在订购单中误订，也需要供应商剔除。非采购人所设专业类别、专业性很强的学术专著有误订的，供应商有权拒收。</w:t>
      </w:r>
    </w:p>
    <w:p>
      <w:pPr>
        <w:pStyle w:val="26"/>
        <w:keepNext w:val="0"/>
        <w:keepLines w:val="0"/>
        <w:pageBreakBefore w:val="0"/>
        <w:widowControl w:val="0"/>
        <w:numPr>
          <w:ilvl w:val="1"/>
          <w:numId w:val="11"/>
        </w:numPr>
        <w:kinsoku/>
        <w:wordWrap w:val="0"/>
        <w:overflowPunct/>
        <w:bidi w:val="0"/>
        <w:spacing w:line="440" w:lineRule="exact"/>
        <w:ind w:leftChars="0" w:firstLine="482" w:firstLineChars="200"/>
        <w:textAlignment w:val="auto"/>
        <w:rPr>
          <w:rFonts w:hint="eastAsia" w:ascii="宋体" w:hAnsi="宋体" w:eastAsia="宋体" w:cs="宋体"/>
          <w:color w:val="auto"/>
          <w:sz w:val="24"/>
          <w:szCs w:val="24"/>
          <w:highlight w:val="none"/>
          <w:lang w:val="en-US" w:eastAsia="zh-CN"/>
        </w:rPr>
      </w:pPr>
      <w:bookmarkStart w:id="1014" w:name="_Toc15380"/>
      <w:r>
        <w:rPr>
          <w:rFonts w:hint="eastAsia" w:ascii="宋体" w:hAnsi="宋体" w:eastAsia="宋体" w:cs="宋体"/>
          <w:color w:val="auto"/>
          <w:sz w:val="24"/>
          <w:szCs w:val="24"/>
          <w:highlight w:val="none"/>
          <w:lang w:val="en-US" w:eastAsia="zh-CN"/>
        </w:rPr>
        <w:t>商务要求</w:t>
      </w:r>
      <w:bookmarkEnd w:id="1014"/>
    </w:p>
    <w:p>
      <w:pPr>
        <w:keepNext w:val="0"/>
        <w:keepLines w:val="0"/>
        <w:pageBreakBefore w:val="0"/>
        <w:numPr>
          <w:ilvl w:val="-1"/>
          <w:numId w:val="0"/>
        </w:numPr>
        <w:kinsoku/>
        <w:overflowPunct/>
        <w:autoSpaceDE w:val="0"/>
        <w:autoSpaceDN w:val="0"/>
        <w:bidi w:val="0"/>
        <w:spacing w:line="44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(一)★履约时间和地点</w:t>
      </w:r>
    </w:p>
    <w:p>
      <w:pPr>
        <w:pStyle w:val="33"/>
        <w:keepNext w:val="0"/>
        <w:keepLines w:val="0"/>
        <w:pageBreakBefore w:val="0"/>
        <w:widowControl w:val="0"/>
        <w:kinsoku/>
        <w:wordWrap w:val="0"/>
        <w:overflowPunct/>
        <w:topLinePunct w:val="0"/>
        <w:autoSpaceDE/>
        <w:autoSpaceDN/>
        <w:bidi w:val="0"/>
        <w:adjustRightInd/>
        <w:snapToGrid/>
        <w:spacing w:line="440" w:lineRule="exact"/>
        <w:ind w:leftChars="0"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1.履约时间：签订合同之日起至2021年6月30日前完成不少于80万实洋图书送货</w:t>
      </w:r>
      <w:r>
        <w:rPr>
          <w:rFonts w:hint="eastAsia" w:ascii="宋体" w:hAnsi="宋体" w:cs="宋体"/>
          <w:b w:val="0"/>
          <w:bCs/>
          <w:color w:val="auto"/>
          <w:sz w:val="24"/>
          <w:szCs w:val="24"/>
          <w:highlight w:val="none"/>
          <w:lang w:val="en-US" w:eastAsia="zh-CN"/>
        </w:rPr>
        <w:t>并通过</w:t>
      </w:r>
      <w:r>
        <w:rPr>
          <w:rFonts w:hint="eastAsia" w:ascii="宋体" w:hAnsi="宋体" w:eastAsia="宋体" w:cs="宋体"/>
          <w:b w:val="0"/>
          <w:bCs/>
          <w:color w:val="auto"/>
          <w:sz w:val="24"/>
          <w:szCs w:val="24"/>
          <w:highlight w:val="none"/>
          <w:lang w:val="en-US" w:eastAsia="zh-CN"/>
        </w:rPr>
        <w:t>验收；2021年9月30日前累计完成不少于120万实洋图书送货</w:t>
      </w:r>
      <w:r>
        <w:rPr>
          <w:rFonts w:hint="eastAsia" w:ascii="宋体" w:hAnsi="宋体" w:cs="宋体"/>
          <w:b w:val="0"/>
          <w:bCs/>
          <w:color w:val="auto"/>
          <w:sz w:val="24"/>
          <w:szCs w:val="24"/>
          <w:highlight w:val="none"/>
          <w:lang w:val="en-US" w:eastAsia="zh-CN"/>
        </w:rPr>
        <w:t>并通过</w:t>
      </w:r>
      <w:r>
        <w:rPr>
          <w:rFonts w:hint="eastAsia" w:ascii="宋体" w:hAnsi="宋体" w:eastAsia="宋体" w:cs="宋体"/>
          <w:b w:val="0"/>
          <w:bCs/>
          <w:color w:val="auto"/>
          <w:sz w:val="24"/>
          <w:szCs w:val="24"/>
          <w:highlight w:val="none"/>
          <w:lang w:val="en-US" w:eastAsia="zh-CN"/>
        </w:rPr>
        <w:t>验收；2021年10月30日前完成累计133万实洋图书送货</w:t>
      </w:r>
      <w:r>
        <w:rPr>
          <w:rFonts w:hint="eastAsia" w:ascii="宋体" w:hAnsi="宋体" w:cs="宋体"/>
          <w:b w:val="0"/>
          <w:bCs/>
          <w:color w:val="auto"/>
          <w:sz w:val="24"/>
          <w:szCs w:val="24"/>
          <w:highlight w:val="none"/>
          <w:lang w:val="en-US" w:eastAsia="zh-CN"/>
        </w:rPr>
        <w:t>并通过</w:t>
      </w:r>
      <w:r>
        <w:rPr>
          <w:rFonts w:hint="eastAsia" w:ascii="宋体" w:hAnsi="宋体" w:eastAsia="宋体" w:cs="宋体"/>
          <w:b w:val="0"/>
          <w:bCs/>
          <w:color w:val="auto"/>
          <w:sz w:val="24"/>
          <w:szCs w:val="24"/>
          <w:highlight w:val="none"/>
          <w:lang w:val="en-US" w:eastAsia="zh-CN"/>
        </w:rPr>
        <w:t>验收。</w:t>
      </w:r>
    </w:p>
    <w:p>
      <w:pPr>
        <w:pStyle w:val="33"/>
        <w:keepNext w:val="0"/>
        <w:keepLines w:val="0"/>
        <w:pageBreakBefore w:val="0"/>
        <w:widowControl w:val="0"/>
        <w:kinsoku/>
        <w:wordWrap w:val="0"/>
        <w:overflowPunct/>
        <w:topLinePunct w:val="0"/>
        <w:autoSpaceDE/>
        <w:autoSpaceDN/>
        <w:bidi w:val="0"/>
        <w:adjustRightInd/>
        <w:snapToGrid/>
        <w:spacing w:line="44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2.履约地点：</w:t>
      </w:r>
    </w:p>
    <w:p>
      <w:pPr>
        <w:pStyle w:val="33"/>
        <w:keepNext w:val="0"/>
        <w:keepLines w:val="0"/>
        <w:pageBreakBefore w:val="0"/>
        <w:widowControl w:val="0"/>
        <w:kinsoku/>
        <w:wordWrap w:val="0"/>
        <w:overflowPunct/>
        <w:topLinePunct w:val="0"/>
        <w:autoSpaceDE/>
        <w:autoSpaceDN/>
        <w:bidi w:val="0"/>
        <w:adjustRightInd/>
        <w:snapToGrid/>
        <w:spacing w:line="44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2.1成都市郫都区红光镇港通北三路1899号；</w:t>
      </w:r>
    </w:p>
    <w:p>
      <w:pPr>
        <w:pStyle w:val="33"/>
        <w:keepNext w:val="0"/>
        <w:keepLines w:val="0"/>
        <w:pageBreakBefore w:val="0"/>
        <w:widowControl w:val="0"/>
        <w:kinsoku/>
        <w:wordWrap w:val="0"/>
        <w:overflowPunct/>
        <w:topLinePunct w:val="0"/>
        <w:autoSpaceDE/>
        <w:autoSpaceDN/>
        <w:bidi w:val="0"/>
        <w:adjustRightInd/>
        <w:snapToGrid/>
        <w:spacing w:line="44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2.2成都市新都区西北村300号成都市技师学院新都校区；</w:t>
      </w:r>
    </w:p>
    <w:p>
      <w:pPr>
        <w:pStyle w:val="33"/>
        <w:keepNext w:val="0"/>
        <w:keepLines w:val="0"/>
        <w:pageBreakBefore w:val="0"/>
        <w:widowControl w:val="0"/>
        <w:kinsoku/>
        <w:wordWrap w:val="0"/>
        <w:overflowPunct/>
        <w:topLinePunct w:val="0"/>
        <w:autoSpaceDE/>
        <w:autoSpaceDN/>
        <w:bidi w:val="0"/>
        <w:adjustRightInd/>
        <w:snapToGrid/>
        <w:spacing w:line="44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2.3成都市技师学院西校区(成都市郫都区红光镇高店路1666号)；</w:t>
      </w:r>
    </w:p>
    <w:p>
      <w:pPr>
        <w:pStyle w:val="33"/>
        <w:keepNext w:val="0"/>
        <w:keepLines w:val="0"/>
        <w:pageBreakBefore w:val="0"/>
        <w:widowControl w:val="0"/>
        <w:kinsoku/>
        <w:wordWrap w:val="0"/>
        <w:overflowPunct/>
        <w:topLinePunct w:val="0"/>
        <w:autoSpaceDE/>
        <w:autoSpaceDN/>
        <w:bidi w:val="0"/>
        <w:adjustRightInd/>
        <w:snapToGrid/>
        <w:spacing w:line="44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2.4成都市成华区外东槐树店路32号。</w:t>
      </w:r>
    </w:p>
    <w:p>
      <w:pPr>
        <w:pStyle w:val="33"/>
        <w:keepNext w:val="0"/>
        <w:keepLines w:val="0"/>
        <w:pageBreakBefore w:val="0"/>
        <w:widowControl w:val="0"/>
        <w:kinsoku/>
        <w:wordWrap w:val="0"/>
        <w:overflowPunct/>
        <w:topLinePunct w:val="0"/>
        <w:autoSpaceDE/>
        <w:autoSpaceDN/>
        <w:bidi w:val="0"/>
        <w:adjustRightInd/>
        <w:snapToGrid/>
        <w:spacing w:line="440" w:lineRule="exact"/>
        <w:ind w:leftChars="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注：根据采购人要求和具体安排配送至指定地点。</w:t>
      </w:r>
    </w:p>
    <w:p>
      <w:pPr>
        <w:pStyle w:val="26"/>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firstLine="482" w:firstLineChars="200"/>
        <w:textAlignment w:val="auto"/>
        <w:outlineLvl w:val="9"/>
        <w:rPr>
          <w:rFonts w:hint="eastAsia" w:ascii="宋体" w:hAnsi="宋体" w:eastAsia="宋体" w:cs="宋体"/>
          <w:color w:val="auto"/>
          <w:sz w:val="24"/>
          <w:szCs w:val="24"/>
          <w:highlight w:val="none"/>
          <w:lang w:val="en-US" w:eastAsia="zh-CN"/>
        </w:rPr>
      </w:pPr>
      <w:bookmarkStart w:id="1015" w:name="_Toc19048"/>
      <w:bookmarkStart w:id="1016" w:name="_Toc8930"/>
      <w:bookmarkStart w:id="1017" w:name="_Toc10563"/>
      <w:r>
        <w:rPr>
          <w:rFonts w:hint="eastAsia" w:ascii="宋体" w:hAnsi="宋体" w:eastAsia="宋体" w:cs="宋体"/>
          <w:color w:val="auto"/>
          <w:sz w:val="24"/>
          <w:szCs w:val="24"/>
          <w:highlight w:val="none"/>
          <w:lang w:val="en-US" w:eastAsia="zh-CN"/>
        </w:rPr>
        <w:t>(二)包装、运输及售后要求</w:t>
      </w:r>
      <w:bookmarkEnd w:id="1015"/>
      <w:bookmarkEnd w:id="1016"/>
      <w:bookmarkEnd w:id="1017"/>
    </w:p>
    <w:p>
      <w:pPr>
        <w:keepNext w:val="0"/>
        <w:keepLines w:val="0"/>
        <w:pageBreakBefore w:val="0"/>
        <w:widowControl w:val="0"/>
        <w:kinsoku/>
        <w:wordWrap w:val="0"/>
        <w:overflowPunct/>
        <w:autoSpaceDE w:val="0"/>
        <w:autoSpaceDN w:val="0"/>
        <w:bidi w:val="0"/>
        <w:adjustRightInd w:val="0"/>
        <w:snapToGrid w:val="0"/>
        <w:spacing w:line="440" w:lineRule="exact"/>
        <w:ind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为本项目实施涉及的商品包装和快递包装，均应符合财政部等三部门联合印发商品包装和快递包装政府采购需求标准(试行)(财办库〔2020〕123号)的要求。所送图书按牛皮纸打包并标明包号。包装应足以承受整个过程中的运输、转运、装卸、储存等情况，充分考虑到运输途中的各种情况(如暴露于恶劣气候等)和项目所在地的气候特点，以及露天存放的需要。专人负责送书到图书馆，并负责人工搬运入库(包括上架、移库)</w:t>
      </w:r>
      <w:r>
        <w:rPr>
          <w:rFonts w:hint="eastAsia" w:ascii="宋体" w:hAnsi="宋体" w:eastAsia="宋体" w:cs="宋体"/>
          <w:b/>
          <w:bCs/>
          <w:color w:val="auto"/>
          <w:sz w:val="24"/>
          <w:szCs w:val="24"/>
          <w:highlight w:val="none"/>
          <w:lang w:val="en-US" w:eastAsia="zh-CN"/>
        </w:rPr>
        <w:t>(投标人须在其他投标文件中单独对本项要求以承诺函的形式作出响应，格式自拟)</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val="0"/>
        <w:overflowPunct/>
        <w:autoSpaceDE w:val="0"/>
        <w:autoSpaceDN w:val="0"/>
        <w:bidi w:val="0"/>
        <w:adjustRightInd w:val="0"/>
        <w:snapToGrid w:val="0"/>
        <w:spacing w:line="440" w:lineRule="exact"/>
        <w:ind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2.包装必须适合运输方式，包装费用和运输过程所有费用均由供应商负责；由于不适当的包装而造成图书在运输过程中有任何损坏由供应商负责承担相应费用及损失。</w:t>
      </w:r>
    </w:p>
    <w:p>
      <w:pPr>
        <w:keepNext w:val="0"/>
        <w:keepLines w:val="0"/>
        <w:pageBreakBefore w:val="0"/>
        <w:widowControl w:val="0"/>
        <w:kinsoku/>
        <w:wordWrap w:val="0"/>
        <w:overflowPunct/>
        <w:autoSpaceDE w:val="0"/>
        <w:autoSpaceDN w:val="0"/>
        <w:bidi w:val="0"/>
        <w:adjustRightInd w:val="0"/>
        <w:snapToGrid w:val="0"/>
        <w:spacing w:line="440" w:lineRule="exact"/>
        <w:ind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在送货时应提供该批图书的编目数据、详细电子清单和纸质清单。在图书打包时，应在随包清单中准确注明图书书号、名称、数量、单价、出版日期、复本、码洋、折扣和实洋等信息。投标单位运送图书时应尽可能集中并须提前与采购人联系，以便工作人员接收和清点。</w:t>
      </w:r>
    </w:p>
    <w:p>
      <w:pPr>
        <w:keepNext w:val="0"/>
        <w:keepLines w:val="0"/>
        <w:pageBreakBefore w:val="0"/>
        <w:widowControl w:val="0"/>
        <w:kinsoku/>
        <w:wordWrap w:val="0"/>
        <w:overflowPunct/>
        <w:autoSpaceDE w:val="0"/>
        <w:autoSpaceDN w:val="0"/>
        <w:bidi w:val="0"/>
        <w:adjustRightInd w:val="0"/>
        <w:snapToGrid w:val="0"/>
        <w:spacing w:line="440" w:lineRule="exact"/>
        <w:ind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4.★图书送货要求</w:t>
      </w:r>
      <w:r>
        <w:rPr>
          <w:rFonts w:hint="eastAsia" w:ascii="宋体" w:hAnsi="宋体" w:eastAsia="宋体" w:cs="宋体"/>
          <w:b/>
          <w:bCs/>
          <w:color w:val="auto"/>
          <w:sz w:val="24"/>
          <w:szCs w:val="24"/>
          <w:highlight w:val="none"/>
          <w:lang w:val="en-US" w:eastAsia="zh-CN"/>
        </w:rPr>
        <w:t>(投标人须在其他投标文件中单独对本项要求以承诺函的形式作出响应，格式自拟)</w:t>
      </w:r>
    </w:p>
    <w:p>
      <w:pPr>
        <w:keepNext w:val="0"/>
        <w:keepLines w:val="0"/>
        <w:pageBreakBefore w:val="0"/>
        <w:widowControl w:val="0"/>
        <w:kinsoku/>
        <w:wordWrap w:val="0"/>
        <w:overflowPunct/>
        <w:autoSpaceDE w:val="0"/>
        <w:autoSpaceDN w:val="0"/>
        <w:bidi w:val="0"/>
        <w:adjustRightInd w:val="0"/>
        <w:snapToGrid w:val="0"/>
        <w:spacing w:line="440" w:lineRule="exact"/>
        <w:ind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4.1快速响应承诺。供应商在接到采购人确认的订单后及时组织落实书源，在5个工作日内对确认的订单落实情况进行反馈。</w:t>
      </w:r>
    </w:p>
    <w:p>
      <w:pPr>
        <w:keepNext w:val="0"/>
        <w:keepLines w:val="0"/>
        <w:pageBreakBefore w:val="0"/>
        <w:widowControl w:val="0"/>
        <w:kinsoku/>
        <w:wordWrap w:val="0"/>
        <w:overflowPunct/>
        <w:autoSpaceDE w:val="0"/>
        <w:autoSpaceDN w:val="0"/>
        <w:bidi w:val="0"/>
        <w:adjustRightInd w:val="0"/>
        <w:snapToGrid w:val="0"/>
        <w:spacing w:line="440" w:lineRule="exact"/>
        <w:ind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4.2送货周期承诺。合同签订后供应商应按照采购人提出第一批自选书目清单，承诺30天内完成</w:t>
      </w:r>
      <w:r>
        <w:rPr>
          <w:rFonts w:hint="eastAsia" w:cs="宋体"/>
          <w:b w:val="0"/>
          <w:bCs w:val="0"/>
          <w:color w:val="auto"/>
          <w:sz w:val="24"/>
          <w:szCs w:val="24"/>
          <w:highlight w:val="none"/>
          <w:lang w:val="en-US" w:eastAsia="zh-CN"/>
        </w:rPr>
        <w:t>送货</w:t>
      </w:r>
      <w:r>
        <w:rPr>
          <w:rFonts w:hint="eastAsia" w:ascii="宋体" w:hAnsi="宋体" w:eastAsia="宋体" w:cs="宋体"/>
          <w:b w:val="0"/>
          <w:bCs w:val="0"/>
          <w:color w:val="auto"/>
          <w:sz w:val="24"/>
          <w:szCs w:val="24"/>
          <w:highlight w:val="none"/>
          <w:lang w:val="en-US" w:eastAsia="zh-CN"/>
        </w:rPr>
        <w:t>，其后每批次订单自确认之日起30天内完成送货。经确认后的总订单到货率不低于95%。</w:t>
      </w:r>
    </w:p>
    <w:p>
      <w:pPr>
        <w:pStyle w:val="26"/>
        <w:keepNext w:val="0"/>
        <w:keepLines w:val="0"/>
        <w:pageBreakBefore w:val="0"/>
        <w:widowControl w:val="0"/>
        <w:numPr>
          <w:ilvl w:val="1"/>
          <w:numId w:val="0"/>
        </w:numPr>
        <w:kinsoku/>
        <w:wordWrap w:val="0"/>
        <w:overflowPunct/>
        <w:bidi w:val="0"/>
        <w:adjustRightInd w:val="0"/>
        <w:snapToGrid w:val="0"/>
        <w:spacing w:line="440" w:lineRule="exact"/>
        <w:ind w:leftChars="0" w:firstLine="480" w:firstLineChars="200"/>
        <w:textAlignment w:val="auto"/>
        <w:outlineLvl w:val="9"/>
        <w:rPr>
          <w:rFonts w:hint="eastAsia" w:ascii="宋体" w:hAnsi="宋体" w:eastAsia="宋体" w:cs="宋体"/>
          <w:b w:val="0"/>
          <w:bCs w:val="0"/>
          <w:color w:val="auto"/>
          <w:kern w:val="0"/>
          <w:sz w:val="24"/>
          <w:szCs w:val="24"/>
          <w:highlight w:val="none"/>
          <w:lang w:val="en-US" w:eastAsia="zh-CN"/>
        </w:rPr>
      </w:pPr>
      <w:bookmarkStart w:id="1018" w:name="_Toc24692"/>
      <w:bookmarkStart w:id="1019" w:name="_Toc8226"/>
      <w:bookmarkStart w:id="1020" w:name="_Toc20094"/>
      <w:bookmarkStart w:id="1021" w:name="_Toc13470"/>
      <w:r>
        <w:rPr>
          <w:rFonts w:hint="eastAsia" w:ascii="宋体" w:hAnsi="宋体" w:eastAsia="宋体" w:cs="宋体"/>
          <w:b w:val="0"/>
          <w:bCs w:val="0"/>
          <w:color w:val="auto"/>
          <w:kern w:val="0"/>
          <w:sz w:val="24"/>
          <w:szCs w:val="24"/>
          <w:highlight w:val="none"/>
          <w:lang w:val="en-US" w:eastAsia="zh-CN"/>
        </w:rPr>
        <w:t>4.3供应商必须按时、保质、保量配送图书，并协助采购人清点验收，每批次图书验收完毕后一周内完成上架。供应商须承担从出版社及其发行网点进货以及配送的一切费用。</w:t>
      </w:r>
      <w:bookmarkEnd w:id="1018"/>
      <w:bookmarkEnd w:id="1019"/>
      <w:bookmarkEnd w:id="1020"/>
      <w:bookmarkEnd w:id="1021"/>
    </w:p>
    <w:p>
      <w:pPr>
        <w:keepNext w:val="0"/>
        <w:keepLines w:val="0"/>
        <w:pageBreakBefore w:val="0"/>
        <w:numPr>
          <w:ilvl w:val="-1"/>
          <w:numId w:val="0"/>
        </w:numPr>
        <w:kinsoku/>
        <w:overflowPunct/>
        <w:autoSpaceDE w:val="0"/>
        <w:autoSpaceDN w:val="0"/>
        <w:bidi w:val="0"/>
        <w:spacing w:line="44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(三)★质量及供货渠道要求</w:t>
      </w:r>
    </w:p>
    <w:p>
      <w:pPr>
        <w:pStyle w:val="26"/>
        <w:keepNext w:val="0"/>
        <w:keepLines w:val="0"/>
        <w:pageBreakBefore w:val="0"/>
        <w:widowControl w:val="0"/>
        <w:numPr>
          <w:ilvl w:val="0"/>
          <w:numId w:val="27"/>
        </w:numPr>
        <w:tabs>
          <w:tab w:val="clear" w:pos="312"/>
        </w:tabs>
        <w:kinsoku/>
        <w:wordWrap w:val="0"/>
        <w:overflowPunct/>
        <w:topLinePunct/>
        <w:autoSpaceDE/>
        <w:autoSpaceDN/>
        <w:bidi w:val="0"/>
        <w:adjustRightInd w:val="0"/>
        <w:snapToGrid w:val="0"/>
        <w:spacing w:line="44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bookmarkStart w:id="1022" w:name="_Toc6973"/>
      <w:bookmarkStart w:id="1023" w:name="_Toc30262"/>
      <w:bookmarkStart w:id="1024" w:name="_Toc4630"/>
      <w:r>
        <w:rPr>
          <w:rFonts w:hint="eastAsia" w:ascii="宋体" w:hAnsi="宋体" w:eastAsia="宋体" w:cs="宋体"/>
          <w:b w:val="0"/>
          <w:bCs w:val="0"/>
          <w:color w:val="auto"/>
          <w:sz w:val="24"/>
          <w:szCs w:val="24"/>
          <w:highlight w:val="none"/>
          <w:lang w:val="en-US" w:eastAsia="zh-CN"/>
        </w:rPr>
        <w:t>整体质保2年(质保期为验收合格之日起开始计算)。</w:t>
      </w:r>
      <w:bookmarkEnd w:id="1022"/>
      <w:bookmarkEnd w:id="1023"/>
      <w:bookmarkEnd w:id="1024"/>
    </w:p>
    <w:p>
      <w:pPr>
        <w:pStyle w:val="26"/>
        <w:keepNext w:val="0"/>
        <w:keepLines w:val="0"/>
        <w:pageBreakBefore w:val="0"/>
        <w:widowControl w:val="0"/>
        <w:numPr>
          <w:ilvl w:val="0"/>
          <w:numId w:val="27"/>
        </w:numPr>
        <w:tabs>
          <w:tab w:val="clear" w:pos="312"/>
        </w:tabs>
        <w:kinsoku/>
        <w:wordWrap w:val="0"/>
        <w:overflowPunct/>
        <w:bidi w:val="0"/>
        <w:adjustRightInd/>
        <w:snapToGrid/>
        <w:spacing w:line="440" w:lineRule="exact"/>
        <w:ind w:leftChars="0" w:firstLine="480" w:firstLineChars="200"/>
        <w:textAlignment w:val="auto"/>
        <w:outlineLvl w:val="9"/>
        <w:rPr>
          <w:rFonts w:hint="eastAsia" w:ascii="宋体" w:hAnsi="宋体" w:eastAsia="宋体" w:cs="宋体"/>
          <w:b w:val="0"/>
          <w:bCs w:val="0"/>
          <w:color w:val="auto"/>
          <w:kern w:val="0"/>
          <w:sz w:val="24"/>
          <w:szCs w:val="24"/>
          <w:highlight w:val="none"/>
          <w:lang w:val="en-US" w:eastAsia="zh-CN"/>
        </w:rPr>
      </w:pPr>
      <w:bookmarkStart w:id="1025" w:name="_Toc15678"/>
      <w:bookmarkStart w:id="1026" w:name="_Toc6323"/>
      <w:bookmarkStart w:id="1027" w:name="_Toc31739"/>
      <w:r>
        <w:rPr>
          <w:rFonts w:hint="eastAsia" w:ascii="宋体" w:hAnsi="宋体" w:eastAsia="宋体" w:cs="宋体"/>
          <w:b w:val="0"/>
          <w:bCs w:val="0"/>
          <w:color w:val="auto"/>
          <w:kern w:val="0"/>
          <w:sz w:val="24"/>
          <w:szCs w:val="24"/>
          <w:highlight w:val="none"/>
          <w:lang w:val="en-US" w:eastAsia="zh-CN"/>
        </w:rPr>
        <w:t>供应商所供图书若存在质量瑕疵，供应商应无条件负责退换。退、换书过程产生的相关费用由供应商承担。</w:t>
      </w:r>
      <w:bookmarkEnd w:id="1025"/>
      <w:bookmarkEnd w:id="1026"/>
      <w:bookmarkEnd w:id="1027"/>
    </w:p>
    <w:p>
      <w:pPr>
        <w:pStyle w:val="26"/>
        <w:keepNext w:val="0"/>
        <w:keepLines w:val="0"/>
        <w:pageBreakBefore w:val="0"/>
        <w:widowControl w:val="0"/>
        <w:numPr>
          <w:ilvl w:val="-1"/>
          <w:numId w:val="0"/>
        </w:numPr>
        <w:kinsoku/>
        <w:wordWrap w:val="0"/>
        <w:overflowPunct/>
        <w:bidi w:val="0"/>
        <w:adjustRightInd/>
        <w:snapToGrid/>
        <w:spacing w:line="440" w:lineRule="exact"/>
        <w:ind w:leftChars="0" w:firstLine="482" w:firstLineChars="200"/>
        <w:textAlignment w:val="auto"/>
        <w:outlineLvl w:val="9"/>
        <w:rPr>
          <w:rFonts w:hint="eastAsia" w:ascii="宋体" w:hAnsi="宋体" w:eastAsia="宋体" w:cs="宋体"/>
          <w:b w:val="0"/>
          <w:bCs w:val="0"/>
          <w:color w:val="auto"/>
          <w:kern w:val="0"/>
          <w:sz w:val="24"/>
          <w:szCs w:val="24"/>
          <w:highlight w:val="none"/>
          <w:lang w:val="en-US" w:eastAsia="zh-CN"/>
        </w:rPr>
      </w:pPr>
      <w:bookmarkStart w:id="1028" w:name="_Toc27274"/>
      <w:bookmarkStart w:id="1029" w:name="_Toc926"/>
      <w:bookmarkStart w:id="1030" w:name="_Toc9153"/>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上架</w:t>
      </w:r>
      <w:r>
        <w:rPr>
          <w:rFonts w:hint="eastAsia" w:ascii="宋体" w:hAnsi="宋体" w:eastAsia="宋体" w:cs="宋体"/>
          <w:color w:val="auto"/>
          <w:sz w:val="24"/>
          <w:szCs w:val="24"/>
          <w:highlight w:val="none"/>
        </w:rPr>
        <w:t>要求</w:t>
      </w:r>
      <w:bookmarkEnd w:id="1028"/>
      <w:bookmarkEnd w:id="1029"/>
      <w:bookmarkEnd w:id="1030"/>
    </w:p>
    <w:p>
      <w:pPr>
        <w:keepNext w:val="0"/>
        <w:keepLines w:val="0"/>
        <w:pageBreakBefore w:val="0"/>
        <w:kinsoku/>
        <w:overflowPunct/>
        <w:autoSpaceDE w:val="0"/>
        <w:autoSpaceDN w:val="0"/>
        <w:bidi w:val="0"/>
        <w:spacing w:line="44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送货到达现场后按采购人的要求上架到指定地点。</w:t>
      </w:r>
    </w:p>
    <w:p>
      <w:pPr>
        <w:pStyle w:val="26"/>
        <w:keepNext w:val="0"/>
        <w:keepLines w:val="0"/>
        <w:pageBreakBefore w:val="0"/>
        <w:widowControl w:val="0"/>
        <w:numPr>
          <w:ilvl w:val="-1"/>
          <w:numId w:val="0"/>
        </w:numPr>
        <w:kinsoku/>
        <w:wordWrap w:val="0"/>
        <w:overflowPunct/>
        <w:bidi w:val="0"/>
        <w:adjustRightInd/>
        <w:snapToGrid/>
        <w:spacing w:line="440" w:lineRule="exact"/>
        <w:ind w:leftChars="0" w:firstLine="482" w:firstLineChars="200"/>
        <w:textAlignment w:val="auto"/>
        <w:outlineLvl w:val="9"/>
        <w:rPr>
          <w:rFonts w:hint="eastAsia" w:ascii="宋体" w:hAnsi="宋体" w:eastAsia="宋体" w:cs="宋体"/>
          <w:b/>
          <w:bCs/>
          <w:color w:val="auto"/>
          <w:kern w:val="2"/>
          <w:sz w:val="24"/>
          <w:szCs w:val="24"/>
          <w:highlight w:val="none"/>
          <w:lang w:val="en-US" w:eastAsia="zh-CN"/>
        </w:rPr>
      </w:pPr>
      <w:bookmarkStart w:id="1031" w:name="_Toc18830"/>
      <w:bookmarkStart w:id="1032" w:name="_Toc12704"/>
      <w:bookmarkStart w:id="1033" w:name="_Toc29478"/>
      <w:r>
        <w:rPr>
          <w:rFonts w:hint="eastAsia" w:ascii="宋体" w:hAnsi="宋体" w:eastAsia="宋体" w:cs="宋体"/>
          <w:b/>
          <w:bCs/>
          <w:color w:val="auto"/>
          <w:sz w:val="24"/>
          <w:szCs w:val="24"/>
          <w:highlight w:val="none"/>
          <w:lang w:val="en-US" w:eastAsia="zh-CN"/>
        </w:rPr>
        <w:t>(五)★现有图书</w:t>
      </w:r>
      <w:r>
        <w:rPr>
          <w:rFonts w:hint="eastAsia" w:ascii="宋体" w:hAnsi="宋体" w:eastAsia="宋体" w:cs="宋体"/>
          <w:b/>
          <w:bCs/>
          <w:color w:val="auto"/>
          <w:kern w:val="2"/>
          <w:sz w:val="24"/>
          <w:szCs w:val="24"/>
          <w:highlight w:val="none"/>
          <w:lang w:val="en-US" w:eastAsia="zh-CN"/>
        </w:rPr>
        <w:t>整理服务</w:t>
      </w:r>
      <w:bookmarkEnd w:id="1031"/>
      <w:bookmarkEnd w:id="1032"/>
      <w:bookmarkEnd w:id="1033"/>
    </w:p>
    <w:p>
      <w:pPr>
        <w:keepNext w:val="0"/>
        <w:keepLines w:val="0"/>
        <w:pageBreakBefore w:val="0"/>
        <w:widowControl w:val="0"/>
        <w:numPr>
          <w:ilvl w:val="-1"/>
          <w:numId w:val="0"/>
        </w:numPr>
        <w:kinsoku/>
        <w:wordWrap w:val="0"/>
        <w:overflowPunct/>
        <w:topLinePunct w:val="0"/>
        <w:autoSpaceDE w:val="0"/>
        <w:autoSpaceDN w:val="0"/>
        <w:bidi w:val="0"/>
        <w:adjustRightInd w:val="0"/>
        <w:snapToGrid w:val="0"/>
        <w:spacing w:line="440" w:lineRule="exact"/>
        <w:ind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供应商负责完成上架伴随的图书整理服务(约8万册)，在上架过程中完成现有书架下架、腾空，图书按序调架、下架和搬运工作，并按要求放置至指定地点等的工作任务</w:t>
      </w:r>
      <w:r>
        <w:rPr>
          <w:rFonts w:hint="eastAsia" w:ascii="宋体" w:hAnsi="宋体" w:eastAsia="宋体" w:cs="宋体"/>
          <w:b/>
          <w:bCs/>
          <w:color w:val="auto"/>
          <w:sz w:val="24"/>
          <w:szCs w:val="24"/>
          <w:highlight w:val="none"/>
          <w:lang w:val="en-US" w:eastAsia="zh-CN"/>
        </w:rPr>
        <w:t>(投标人须在其他投标文件中单独对本项要求以承诺函的形式作出响应，格式自拟)</w:t>
      </w:r>
      <w:r>
        <w:rPr>
          <w:rFonts w:hint="eastAsia" w:ascii="宋体" w:hAnsi="宋体" w:eastAsia="宋体" w:cs="宋体"/>
          <w:color w:val="auto"/>
          <w:kern w:val="2"/>
          <w:sz w:val="24"/>
          <w:szCs w:val="24"/>
          <w:highlight w:val="none"/>
          <w:lang w:val="en-US" w:eastAsia="zh-CN"/>
        </w:rPr>
        <w:t>。</w:t>
      </w:r>
    </w:p>
    <w:p>
      <w:pPr>
        <w:keepNext w:val="0"/>
        <w:keepLines w:val="0"/>
        <w:pageBreakBefore w:val="0"/>
        <w:numPr>
          <w:ilvl w:val="-1"/>
          <w:numId w:val="0"/>
        </w:numPr>
        <w:kinsoku/>
        <w:overflowPunct/>
        <w:autoSpaceDE w:val="0"/>
        <w:autoSpaceDN w:val="0"/>
        <w:bidi w:val="0"/>
        <w:spacing w:line="44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(六)★资金</w:t>
      </w:r>
      <w:r>
        <w:rPr>
          <w:rFonts w:hint="eastAsia" w:ascii="宋体" w:hAnsi="宋体" w:eastAsia="宋体" w:cs="宋体"/>
          <w:b/>
          <w:bCs/>
          <w:color w:val="auto"/>
          <w:sz w:val="24"/>
          <w:szCs w:val="24"/>
          <w:highlight w:val="none"/>
        </w:rPr>
        <w:t>支付方式和条件</w:t>
      </w:r>
      <w:r>
        <w:rPr>
          <w:rFonts w:hint="eastAsia" w:ascii="宋体" w:hAnsi="宋体" w:eastAsia="宋体" w:cs="宋体"/>
          <w:b/>
          <w:bCs/>
          <w:color w:val="auto"/>
          <w:sz w:val="24"/>
          <w:szCs w:val="24"/>
          <w:highlight w:val="none"/>
          <w:lang w:val="en-US" w:eastAsia="zh-CN"/>
        </w:rPr>
        <w:t>：</w:t>
      </w:r>
    </w:p>
    <w:p>
      <w:pPr>
        <w:pStyle w:val="29"/>
        <w:keepNext w:val="0"/>
        <w:keepLines w:val="0"/>
        <w:pageBreakBefore w:val="0"/>
        <w:kinsoku/>
        <w:overflowPunct/>
        <w:bidi w:val="0"/>
        <w:adjustRightInd/>
        <w:spacing w:line="440" w:lineRule="exact"/>
        <w:ind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color w:val="auto"/>
          <w:sz w:val="24"/>
          <w:szCs w:val="24"/>
          <w:highlight w:val="none"/>
        </w:rPr>
        <w:t>图书实洋包含但不限于图书生产、加工、</w:t>
      </w:r>
      <w:r>
        <w:rPr>
          <w:rFonts w:hint="eastAsia" w:cs="宋体"/>
          <w:color w:val="auto"/>
          <w:sz w:val="24"/>
          <w:szCs w:val="24"/>
          <w:highlight w:val="none"/>
          <w:lang w:val="en-US" w:eastAsia="zh-CN"/>
        </w:rPr>
        <w:t>利润、</w:t>
      </w:r>
      <w:r>
        <w:rPr>
          <w:rFonts w:hint="eastAsia" w:ascii="宋体" w:hAnsi="宋体" w:eastAsia="宋体" w:cs="宋体"/>
          <w:color w:val="auto"/>
          <w:sz w:val="24"/>
          <w:szCs w:val="24"/>
          <w:highlight w:val="none"/>
        </w:rPr>
        <w:t>运输(含二次搬运)、仓储分拣、上架编码、</w:t>
      </w:r>
      <w:r>
        <w:rPr>
          <w:rFonts w:hint="eastAsia" w:ascii="宋体" w:hAnsi="宋体" w:eastAsia="宋体" w:cs="宋体"/>
          <w:color w:val="auto"/>
          <w:sz w:val="24"/>
          <w:szCs w:val="24"/>
          <w:highlight w:val="none"/>
          <w:lang w:val="en-US" w:eastAsia="zh-CN"/>
        </w:rPr>
        <w:t>加工、</w:t>
      </w:r>
      <w:r>
        <w:rPr>
          <w:rFonts w:hint="eastAsia" w:ascii="宋体" w:hAnsi="宋体" w:eastAsia="宋体" w:cs="宋体"/>
          <w:color w:val="auto"/>
          <w:sz w:val="24"/>
          <w:szCs w:val="24"/>
          <w:highlight w:val="none"/>
        </w:rPr>
        <w:t>售后服务、风险、税金等</w:t>
      </w:r>
      <w:r>
        <w:rPr>
          <w:rFonts w:hint="eastAsia" w:ascii="宋体" w:hAnsi="宋体" w:eastAsia="宋体" w:cs="宋体"/>
          <w:color w:val="auto"/>
          <w:sz w:val="24"/>
          <w:szCs w:val="24"/>
          <w:highlight w:val="none"/>
          <w:lang w:val="en-US" w:eastAsia="zh-CN"/>
        </w:rPr>
        <w:t>完成本项目所需的一起费用</w:t>
      </w:r>
      <w:r>
        <w:rPr>
          <w:rFonts w:hint="eastAsia" w:ascii="宋体" w:hAnsi="宋体" w:eastAsia="宋体" w:cs="宋体"/>
          <w:b w:val="0"/>
          <w:bCs/>
          <w:color w:val="auto"/>
          <w:sz w:val="24"/>
          <w:szCs w:val="24"/>
          <w:highlight w:val="none"/>
        </w:rPr>
        <w:t xml:space="preserve">。  </w:t>
      </w:r>
    </w:p>
    <w:p>
      <w:pPr>
        <w:keepNext w:val="0"/>
        <w:keepLines w:val="0"/>
        <w:pageBreakBefore w:val="0"/>
        <w:widowControl w:val="0"/>
        <w:numPr>
          <w:ilvl w:val="0"/>
          <w:numId w:val="0"/>
        </w:numPr>
        <w:tabs>
          <w:tab w:val="left" w:pos="312"/>
          <w:tab w:val="clear" w:pos="0"/>
        </w:tabs>
        <w:kinsoku/>
        <w:wordWrap w:val="0"/>
        <w:overflowPunct/>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2.按批次支付，每批次图书以实际验收合格的实洋金额[码洋金额×(1-下浮率)]支付，最终</w:t>
      </w:r>
      <w:r>
        <w:rPr>
          <w:rFonts w:hint="eastAsia" w:cs="宋体"/>
          <w:color w:val="auto"/>
          <w:sz w:val="24"/>
          <w:szCs w:val="24"/>
          <w:highlight w:val="none"/>
          <w:lang w:val="en-US" w:eastAsia="zh-CN"/>
        </w:rPr>
        <w:t>累计</w:t>
      </w:r>
      <w:r>
        <w:rPr>
          <w:rFonts w:hint="eastAsia" w:ascii="宋体" w:hAnsi="宋体" w:eastAsia="宋体" w:cs="宋体"/>
          <w:color w:val="auto"/>
          <w:sz w:val="24"/>
          <w:szCs w:val="24"/>
          <w:highlight w:val="none"/>
          <w:lang w:val="en-US" w:eastAsia="zh-CN"/>
        </w:rPr>
        <w:t>支付金额不超过本项目采购预算(133万元)。</w:t>
      </w:r>
    </w:p>
    <w:p>
      <w:pPr>
        <w:keepNext w:val="0"/>
        <w:keepLines w:val="0"/>
        <w:pageBreakBefore w:val="0"/>
        <w:widowControl w:val="0"/>
        <w:numPr>
          <w:ilvl w:val="0"/>
          <w:numId w:val="0"/>
        </w:numPr>
        <w:tabs>
          <w:tab w:val="left" w:pos="312"/>
          <w:tab w:val="clear" w:pos="0"/>
        </w:tabs>
        <w:kinsoku/>
        <w:wordWrap w:val="0"/>
        <w:overflowPunct/>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3.结算程序：</w:t>
      </w:r>
    </w:p>
    <w:p>
      <w:pPr>
        <w:keepNext w:val="0"/>
        <w:keepLines w:val="0"/>
        <w:pageBreakBefore w:val="0"/>
        <w:widowControl w:val="0"/>
        <w:numPr>
          <w:ilvl w:val="0"/>
          <w:numId w:val="0"/>
        </w:numPr>
        <w:tabs>
          <w:tab w:val="left" w:pos="312"/>
          <w:tab w:val="clear" w:pos="0"/>
        </w:tabs>
        <w:kinsoku/>
        <w:wordWrap w:val="0"/>
        <w:overflowPunct/>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3.1对账：中标人完成当批次送货经采购人验收合格后，双方确认验收按实洋金额进行支付。</w:t>
      </w:r>
    </w:p>
    <w:p>
      <w:pPr>
        <w:keepNext w:val="0"/>
        <w:keepLines w:val="0"/>
        <w:pageBreakBefore w:val="0"/>
        <w:widowControl w:val="0"/>
        <w:numPr>
          <w:ilvl w:val="0"/>
          <w:numId w:val="0"/>
        </w:numPr>
        <w:tabs>
          <w:tab w:val="left" w:pos="312"/>
          <w:tab w:val="clear" w:pos="0"/>
        </w:tabs>
        <w:kinsoku/>
        <w:wordWrap w:val="0"/>
        <w:overflowPunct/>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3.2发票开具：中标人向采购人开具经双方确定的验收实洋金额的国家正式发票并附所购图书清单。</w:t>
      </w:r>
    </w:p>
    <w:p>
      <w:pPr>
        <w:keepNext w:val="0"/>
        <w:keepLines w:val="0"/>
        <w:pageBreakBefore w:val="0"/>
        <w:widowControl w:val="0"/>
        <w:numPr>
          <w:ilvl w:val="0"/>
          <w:numId w:val="0"/>
        </w:numPr>
        <w:tabs>
          <w:tab w:val="left" w:pos="312"/>
          <w:tab w:val="clear" w:pos="0"/>
        </w:tabs>
        <w:kinsoku/>
        <w:wordWrap w:val="0"/>
        <w:overflowPunct/>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3.3付款时间：每批次验收合格后且收到供应商的正式发票之日起，采购人在15日内以银行转账方式将图书款汇入供应商指定账户。</w:t>
      </w:r>
    </w:p>
    <w:p>
      <w:pPr>
        <w:keepNext w:val="0"/>
        <w:keepLines w:val="0"/>
        <w:pageBreakBefore w:val="0"/>
        <w:numPr>
          <w:ilvl w:val="-1"/>
          <w:numId w:val="0"/>
        </w:numPr>
        <w:kinsoku/>
        <w:overflowPunct/>
        <w:autoSpaceDE w:val="0"/>
        <w:autoSpaceDN w:val="0"/>
        <w:bidi w:val="0"/>
        <w:spacing w:line="44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(七)★履约保证金：</w:t>
      </w:r>
    </w:p>
    <w:p>
      <w:pPr>
        <w:keepNext w:val="0"/>
        <w:keepLines w:val="0"/>
        <w:pageBreakBefore w:val="0"/>
        <w:widowControl w:val="0"/>
        <w:numPr>
          <w:ilvl w:val="0"/>
          <w:numId w:val="0"/>
        </w:numPr>
        <w:tabs>
          <w:tab w:val="left" w:pos="312"/>
          <w:tab w:val="clear" w:pos="0"/>
        </w:tabs>
        <w:kinsoku/>
        <w:wordWrap w:val="0"/>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1.履约保证金：</w:t>
      </w:r>
      <w:r>
        <w:rPr>
          <w:rFonts w:hint="eastAsia" w:cs="宋体"/>
          <w:color w:val="auto"/>
          <w:sz w:val="24"/>
          <w:szCs w:val="24"/>
          <w:highlight w:val="none"/>
          <w:lang w:val="en-US" w:eastAsia="zh-CN"/>
        </w:rPr>
        <w:t>66500</w:t>
      </w:r>
      <w:r>
        <w:rPr>
          <w:rFonts w:hint="eastAsia" w:ascii="宋体" w:hAnsi="宋体" w:eastAsia="宋体" w:cs="宋体"/>
          <w:color w:val="auto"/>
          <w:sz w:val="24"/>
          <w:szCs w:val="24"/>
          <w:highlight w:val="none"/>
          <w:lang w:val="en-US" w:eastAsia="zh-CN"/>
        </w:rPr>
        <w:t>元</w:t>
      </w:r>
      <w:r>
        <w:rPr>
          <w:rFonts w:hint="eastAsia" w:cs="宋体"/>
          <w:color w:val="auto"/>
          <w:sz w:val="24"/>
          <w:szCs w:val="24"/>
          <w:highlight w:val="none"/>
          <w:lang w:val="en-US" w:eastAsia="zh-CN"/>
        </w:rPr>
        <w:t>(大写人民币：陆万陆仟伍佰元整)</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tabs>
          <w:tab w:val="left" w:pos="312"/>
          <w:tab w:val="clear" w:pos="0"/>
        </w:tabs>
        <w:kinsoku/>
        <w:wordWrap w:val="0"/>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交款方式：投标人应在中标通知书发出之日起合同签订前以银行转账、支票、汇票、本票或者金融机构、担保机构出具的保函等非现金形式向采购人提交履约保证金，在收到采购人财务部门出具的履约保证金收据后，凭此凭证以及成交通知书与采购人指定的需求部门签定合同。</w:t>
      </w:r>
    </w:p>
    <w:p>
      <w:pPr>
        <w:keepNext w:val="0"/>
        <w:keepLines w:val="0"/>
        <w:pageBreakBefore w:val="0"/>
        <w:widowControl w:val="0"/>
        <w:numPr>
          <w:ilvl w:val="0"/>
          <w:numId w:val="0"/>
        </w:numPr>
        <w:tabs>
          <w:tab w:val="left" w:pos="312"/>
          <w:tab w:val="clear" w:pos="0"/>
        </w:tabs>
        <w:kinsoku/>
        <w:wordWrap w:val="0"/>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约保证金退还方式：履行合同约定完毕后,无质量问题和违约责任情况，供应商凭“验收报告单”、出具“收到退还履约保证金的收据”、“履约保证金退还申请”到采购人财务部门办理，无息退还。采购人收到供应商提交的履约保证金退还申请等资料后，30个日历天内退还供应商履约保证金。因采购人原因逾期退还的，还应向供应商支付未退还金额万分之五/天的违约金。</w:t>
      </w:r>
    </w:p>
    <w:p>
      <w:pPr>
        <w:keepNext w:val="0"/>
        <w:keepLines w:val="0"/>
        <w:pageBreakBefore w:val="0"/>
        <w:widowControl w:val="0"/>
        <w:numPr>
          <w:ilvl w:val="0"/>
          <w:numId w:val="0"/>
        </w:numPr>
        <w:tabs>
          <w:tab w:val="left" w:pos="312"/>
          <w:tab w:val="clear" w:pos="0"/>
        </w:tabs>
        <w:kinsoku/>
        <w:wordWrap w:val="0"/>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4.履约保证金汇入的银行及账号：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收款账号：成都市技师学院</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开户行：工行成都红光支行</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银行账号：4402054609100031151</w:t>
      </w:r>
    </w:p>
    <w:p>
      <w:pPr>
        <w:keepNext w:val="0"/>
        <w:keepLines w:val="0"/>
        <w:pageBreakBefore w:val="0"/>
        <w:widowControl/>
        <w:numPr>
          <w:ilvl w:val="0"/>
          <w:numId w:val="0"/>
        </w:numPr>
        <w:tabs>
          <w:tab w:val="left" w:pos="312"/>
          <w:tab w:val="clear" w:pos="0"/>
        </w:tabs>
        <w:kinsoku/>
        <w:wordWrap w:val="0"/>
        <w:overflowPunct/>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履约保证金不予退还情形：一是供应商未按合同要求履行的，其履约保证金全部扣除。二是供应商缴纳了履约保证金，但因自身原因被取消成交资格或在成交公示期满之日起30日历天(含法定节假日)内供应商不按采购文件确定的事项与采购人签订合同的，其履约保证金不予退还。</w:t>
      </w:r>
    </w:p>
    <w:p>
      <w:pPr>
        <w:keepNext w:val="0"/>
        <w:keepLines w:val="0"/>
        <w:pageBreakBefore w:val="0"/>
        <w:numPr>
          <w:ilvl w:val="-1"/>
          <w:numId w:val="0"/>
        </w:numPr>
        <w:kinsoku/>
        <w:overflowPunct/>
        <w:autoSpaceDE w:val="0"/>
        <w:autoSpaceDN w:val="0"/>
        <w:bidi w:val="0"/>
        <w:spacing w:line="44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(八)★项目验收方法和标准</w:t>
      </w:r>
    </w:p>
    <w:p>
      <w:pPr>
        <w:keepNext w:val="0"/>
        <w:keepLines w:val="0"/>
        <w:pageBreakBefore w:val="0"/>
        <w:widowControl w:val="0"/>
        <w:kinsoku/>
        <w:wordWrap w:val="0"/>
        <w:overflowPunct/>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1.验收标准：按国家新闻出版总署公布的自2005年3月1日起施行的《图书质量管理规定》相关规定和采购文件的质量要求和技术指标进行验收。</w:t>
      </w:r>
    </w:p>
    <w:p>
      <w:pPr>
        <w:keepNext w:val="0"/>
        <w:keepLines w:val="0"/>
        <w:pageBreakBefore w:val="0"/>
        <w:widowControl w:val="0"/>
        <w:kinsoku/>
        <w:wordWrap w:val="0"/>
        <w:overflowPunct/>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2.其他未尽事宜应按照《财政部关于进一步加强政府采购需求和履约验收管理的指导意见》(财库〔2016〕205 号)。</w:t>
      </w:r>
    </w:p>
    <w:p>
      <w:pPr>
        <w:keepNext w:val="0"/>
        <w:keepLines w:val="0"/>
        <w:pageBreakBefore w:val="0"/>
        <w:numPr>
          <w:ilvl w:val="-1"/>
          <w:numId w:val="0"/>
        </w:numPr>
        <w:kinsoku/>
        <w:overflowPunct/>
        <w:autoSpaceDE w:val="0"/>
        <w:autoSpaceDN w:val="0"/>
        <w:bidi w:val="0"/>
        <w:spacing w:line="44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(九)★违约责任</w:t>
      </w:r>
    </w:p>
    <w:p>
      <w:pPr>
        <w:pStyle w:val="3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1.采购人违约责任</w:t>
      </w:r>
    </w:p>
    <w:p>
      <w:pPr>
        <w:pStyle w:val="3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采购人逾期支付货款的，除应及时付足货款外，应向供应商偿付欠款总额万分之五/天的违约金，</w:t>
      </w:r>
      <w:r>
        <w:rPr>
          <w:rFonts w:hint="eastAsia" w:ascii="宋体" w:hAnsi="宋体" w:eastAsia="宋体" w:cs="宋体"/>
          <w:color w:val="auto"/>
          <w:kern w:val="0"/>
          <w:sz w:val="24"/>
          <w:szCs w:val="24"/>
          <w:highlight w:val="none"/>
        </w:rPr>
        <w:t>逾期付款超过</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日历天的，供应商有权终止合同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但非采购人原因导致付款超过30日历天的，</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不得终止合同</w:t>
      </w:r>
      <w:r>
        <w:rPr>
          <w:rFonts w:hint="eastAsia" w:ascii="宋体" w:hAnsi="宋体" w:eastAsia="宋体" w:cs="宋体"/>
          <w:color w:val="auto"/>
          <w:kern w:val="0"/>
          <w:sz w:val="24"/>
          <w:szCs w:val="24"/>
          <w:highlight w:val="none"/>
          <w:lang w:eastAsia="zh-CN"/>
        </w:rPr>
        <w:t>。</w:t>
      </w:r>
    </w:p>
    <w:p>
      <w:pPr>
        <w:pStyle w:val="3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2.供应商违约责任</w:t>
      </w:r>
    </w:p>
    <w:p>
      <w:pPr>
        <w:pStyle w:val="3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供应商未按招标文件和供应商的响应文件约定的时间及要求按时提供书目和反馈订单信息，供应商应向采购人支付1万元/天的违约金。逾期超过5天采购人有权终止合同，同时供应商还须向采购人支付20万元的违约金。</w:t>
      </w:r>
    </w:p>
    <w:p>
      <w:pPr>
        <w:pStyle w:val="3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2.2供应商未按采购人要求的时间送货，应向采购人支付1万元/天的违约金，逾期超过10天采购人有权终止合同，同时供应商还须向采购人支付20万元的违约金。</w:t>
      </w:r>
    </w:p>
    <w:p>
      <w:pPr>
        <w:pStyle w:val="3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2.3供应商未按采购人要求进行编目加工和上架的，应向采购人支付5万元/次的违约金，3日内未完成整改的采购人有权终止合同，同时供应商还须向采购人支付20万元的违约金。</w:t>
      </w:r>
    </w:p>
    <w:p>
      <w:pPr>
        <w:pStyle w:val="3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2.4供应商提供的图书有知识产权纠纷，应退还采购人支付的所有费用，并向采购人支付20万的违约金。</w:t>
      </w:r>
    </w:p>
    <w:p>
      <w:pPr>
        <w:pStyle w:val="3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2.5供应商未按期提供生效订单中的图书，但采购人通过其他途径采购成功的，则供应商应按照采购人所采购图书的3倍</w:t>
      </w:r>
      <w:r>
        <w:rPr>
          <w:rFonts w:hint="eastAsia" w:ascii="宋体" w:hAnsi="宋体" w:cs="宋体"/>
          <w:color w:val="auto"/>
          <w:kern w:val="0"/>
          <w:sz w:val="24"/>
          <w:szCs w:val="24"/>
          <w:highlight w:val="none"/>
          <w:lang w:val="en-US" w:eastAsia="zh-CN"/>
        </w:rPr>
        <w:t>码洋价格</w:t>
      </w:r>
      <w:r>
        <w:rPr>
          <w:rFonts w:hint="eastAsia" w:ascii="宋体" w:hAnsi="宋体" w:eastAsia="宋体" w:cs="宋体"/>
          <w:color w:val="auto"/>
          <w:kern w:val="0"/>
          <w:sz w:val="24"/>
          <w:szCs w:val="24"/>
          <w:highlight w:val="none"/>
          <w:lang w:val="en-US" w:eastAsia="zh-CN"/>
        </w:rPr>
        <w:t>赔偿。</w:t>
      </w:r>
    </w:p>
    <w:p>
      <w:pPr>
        <w:pStyle w:val="3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2.6若供应商提供虚假、作废发票或违反国家法律、法规开具或提供发票的，供应商自行承担全部法律责任，同时供应商还应按中标金额的百分之十向采购人支付违约金。</w:t>
      </w:r>
    </w:p>
    <w:p>
      <w:pPr>
        <w:pStyle w:val="3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2.7供应商转包或分包本项目，采购人有权拒绝支付书款和解除合同，同时供应商应向采购人支付20万元违约金。</w:t>
      </w:r>
    </w:p>
    <w:p>
      <w:pPr>
        <w:pStyle w:val="37"/>
        <w:keepNext w:val="0"/>
        <w:keepLines w:val="0"/>
        <w:pageBreakBefore w:val="0"/>
        <w:widowControl w:val="0"/>
        <w:numPr>
          <w:ilvl w:val="1"/>
          <w:numId w:val="0"/>
        </w:numPr>
        <w:kinsoku/>
        <w:wordWrap w:val="0"/>
        <w:overflowPunct/>
        <w:bidi w:val="0"/>
        <w:spacing w:line="440" w:lineRule="exact"/>
        <w:ind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(十)解决争议的方法</w:t>
      </w:r>
    </w:p>
    <w:p>
      <w:pPr>
        <w:pStyle w:val="3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1.因质量问题发生争议，由供应商和采购人协商确定的第三方机构进行质量鉴定。质量符合标准的，鉴定费由采购人承担；不符合质量标准的，鉴定费由供应商承担。</w:t>
      </w:r>
    </w:p>
    <w:p>
      <w:pPr>
        <w:pStyle w:val="3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2.履约期间，若双方发生争议，双方应通过友好协商解决，经协商不能达成协议时，应向采购人所在地人民法院提起诉讼。</w:t>
      </w:r>
    </w:p>
    <w:p>
      <w:pPr>
        <w:pStyle w:val="3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3.在诉讼期间，除正在进行诉讼的部分外，合同其他部分继续执行。</w:t>
      </w:r>
      <w:bookmarkStart w:id="1034" w:name="_Toc20781"/>
      <w:bookmarkStart w:id="1035" w:name="_Toc27313"/>
      <w:bookmarkStart w:id="1036" w:name="_Toc32286_WPSOffice_Level2"/>
    </w:p>
    <w:p>
      <w:pPr>
        <w:pStyle w:val="37"/>
        <w:keepNext w:val="0"/>
        <w:keepLines w:val="0"/>
        <w:pageBreakBefore w:val="0"/>
        <w:numPr>
          <w:ilvl w:val="1"/>
          <w:numId w:val="0"/>
        </w:numPr>
        <w:kinsoku/>
        <w:overflowPunct/>
        <w:bidi w:val="0"/>
        <w:spacing w:line="440" w:lineRule="exact"/>
        <w:ind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(十一)其他商务要求</w:t>
      </w:r>
      <w:bookmarkEnd w:id="1034"/>
      <w:bookmarkEnd w:id="1035"/>
      <w:bookmarkEnd w:id="1036"/>
    </w:p>
    <w:p>
      <w:pPr>
        <w:pStyle w:val="3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1.政府采购合同签订时间：中标人自中标通知书发出之日起30日内与采购人签订政府采购合同。</w:t>
      </w:r>
    </w:p>
    <w:p>
      <w:pPr>
        <w:pStyle w:val="3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r>
        <w:rPr>
          <w:rFonts w:hint="eastAsia" w:ascii="宋体" w:hAnsi="宋体" w:eastAsia="宋体" w:cs="宋体"/>
          <w:b/>
          <w:bCs/>
          <w:color w:val="auto"/>
          <w:kern w:val="0"/>
          <w:sz w:val="24"/>
          <w:szCs w:val="24"/>
          <w:highlight w:val="none"/>
          <w:lang w:val="en-US" w:eastAsia="zh-CN"/>
        </w:rPr>
        <w:t>(投标人须在其他投标文件中单独对本项要求以承诺函的形式作出响应，格式自拟)</w:t>
      </w:r>
      <w:r>
        <w:rPr>
          <w:rFonts w:hint="eastAsia" w:ascii="宋体" w:hAnsi="宋体" w:eastAsia="宋体" w:cs="宋体"/>
          <w:color w:val="auto"/>
          <w:kern w:val="0"/>
          <w:sz w:val="24"/>
          <w:szCs w:val="24"/>
          <w:highlight w:val="none"/>
          <w:lang w:val="en-US" w:eastAsia="zh-CN"/>
        </w:rPr>
        <w:t>。</w:t>
      </w:r>
    </w:p>
    <w:p>
      <w:pPr>
        <w:pStyle w:val="3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3.供应商在项目执行过程中定期及时向采购人通告本项目供货的重大事项及其进度。</w:t>
      </w:r>
    </w:p>
    <w:p>
      <w:pPr>
        <w:pStyle w:val="3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4.接受项目行业管理部门及政府有关部门的指导，接受采购人的监督。</w:t>
      </w:r>
    </w:p>
    <w:p>
      <w:pPr>
        <w:pStyle w:val="33"/>
        <w:keepNext w:val="0"/>
        <w:keepLines w:val="0"/>
        <w:pageBreakBefore w:val="0"/>
        <w:numPr>
          <w:ilvl w:val="0"/>
          <w:numId w:val="0"/>
        </w:numPr>
        <w:kinsoku/>
        <w:overflowPunct/>
        <w:autoSpaceDE/>
        <w:autoSpaceDN/>
        <w:bidi w:val="0"/>
        <w:adjustRightInd/>
        <w:snapToGrid/>
        <w:spacing w:line="440" w:lineRule="exact"/>
        <w:ind w:leftChars="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5.供应商所提供的</w:t>
      </w:r>
      <w:r>
        <w:rPr>
          <w:rFonts w:hint="eastAsia" w:ascii="宋体" w:hAnsi="宋体" w:cs="宋体"/>
          <w:color w:val="auto"/>
          <w:kern w:val="0"/>
          <w:sz w:val="24"/>
          <w:szCs w:val="24"/>
          <w:highlight w:val="none"/>
          <w:lang w:val="en-US" w:eastAsia="zh-CN"/>
        </w:rPr>
        <w:t>图书</w:t>
      </w:r>
      <w:r>
        <w:rPr>
          <w:rFonts w:hint="eastAsia" w:ascii="宋体" w:hAnsi="宋体" w:eastAsia="宋体" w:cs="宋体"/>
          <w:color w:val="auto"/>
          <w:kern w:val="0"/>
          <w:sz w:val="24"/>
          <w:szCs w:val="24"/>
          <w:highlight w:val="none"/>
          <w:lang w:val="en-US" w:eastAsia="zh-CN"/>
        </w:rPr>
        <w:t>是经检验合格的全新正品。投标人不得以次充好，产品来源渠道必须合法，同时应根据国家有关规定、服务承诺及采购单位的要求做好售后服务工作。供应商所提供的设备若发现有诸如数量、与合同不符，或产生更换或补货等情形并导致工期延误，采购人有权根据合同有关条款的规定对因此造成的直接损失向供应商索赔。</w:t>
      </w:r>
    </w:p>
    <w:p>
      <w:pPr>
        <w:pStyle w:val="26"/>
        <w:keepNext w:val="0"/>
        <w:keepLines w:val="0"/>
        <w:pageBreakBefore w:val="0"/>
        <w:widowControl w:val="0"/>
        <w:numPr>
          <w:ilvl w:val="1"/>
          <w:numId w:val="11"/>
        </w:numPr>
        <w:kinsoku/>
        <w:wordWrap w:val="0"/>
        <w:overflowPunct/>
        <w:topLinePunct/>
        <w:autoSpaceDE/>
        <w:autoSpaceDN/>
        <w:bidi w:val="0"/>
        <w:adjustRightInd w:val="0"/>
        <w:snapToGrid w:val="0"/>
        <w:spacing w:line="440" w:lineRule="exact"/>
        <w:ind w:leftChars="0" w:firstLine="482" w:firstLineChars="200"/>
        <w:textAlignment w:val="auto"/>
        <w:rPr>
          <w:rFonts w:hint="eastAsia" w:ascii="宋体" w:hAnsi="宋体" w:eastAsia="宋体" w:cs="宋体"/>
          <w:color w:val="auto"/>
          <w:sz w:val="24"/>
          <w:szCs w:val="24"/>
          <w:highlight w:val="none"/>
          <w:lang w:val="en-US" w:eastAsia="zh-CN"/>
        </w:rPr>
      </w:pPr>
      <w:bookmarkStart w:id="1037" w:name="_Toc24124"/>
      <w:r>
        <w:rPr>
          <w:rFonts w:hint="eastAsia" w:cs="宋体"/>
          <w:color w:val="auto"/>
          <w:sz w:val="24"/>
          <w:szCs w:val="24"/>
          <w:highlight w:val="none"/>
          <w:lang w:val="en-US" w:eastAsia="zh-CN"/>
        </w:rPr>
        <w:t>履约能力要求</w:t>
      </w:r>
      <w:bookmarkEnd w:id="1037"/>
    </w:p>
    <w:p>
      <w:pPr>
        <w:keepNext w:val="0"/>
        <w:keepLines w:val="0"/>
        <w:pageBreakBefore w:val="0"/>
        <w:kinsoku/>
        <w:overflowPunct/>
        <w:topLinePunct/>
        <w:bidi w:val="0"/>
        <w:adjustRightInd w:val="0"/>
        <w:snapToGrid w:val="0"/>
        <w:spacing w:line="440" w:lineRule="exact"/>
        <w:ind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(一)服务能力</w:t>
      </w:r>
    </w:p>
    <w:p>
      <w:pPr>
        <w:keepNext w:val="0"/>
        <w:keepLines w:val="0"/>
        <w:pageBreakBefore w:val="0"/>
        <w:widowControl w:val="0"/>
        <w:kinsoku/>
        <w:wordWrap/>
        <w:overflowPunct/>
        <w:topLinePunct/>
        <w:autoSpaceDE/>
        <w:autoSpaceDN/>
        <w:bidi w:val="0"/>
        <w:adjustRightInd w:val="0"/>
        <w:snapToGrid w:val="0"/>
        <w:spacing w:line="44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1.投标人</w:t>
      </w:r>
      <w:r>
        <w:rPr>
          <w:rFonts w:hint="eastAsia" w:cs="宋体"/>
          <w:b w:val="0"/>
          <w:bCs w:val="0"/>
          <w:color w:val="auto"/>
          <w:sz w:val="24"/>
          <w:szCs w:val="24"/>
          <w:highlight w:val="none"/>
          <w:lang w:val="en-US" w:eastAsia="zh-CN"/>
        </w:rPr>
        <w:t>为</w:t>
      </w:r>
      <w:r>
        <w:rPr>
          <w:rFonts w:hint="eastAsia" w:ascii="宋体" w:hAnsi="宋体" w:eastAsia="宋体" w:cs="宋体"/>
          <w:b w:val="0"/>
          <w:bCs w:val="0"/>
          <w:color w:val="auto"/>
          <w:sz w:val="24"/>
          <w:szCs w:val="24"/>
          <w:highlight w:val="none"/>
          <w:lang w:val="en-US" w:eastAsia="zh-CN"/>
        </w:rPr>
        <w:t>项目拟</w:t>
      </w:r>
      <w:r>
        <w:rPr>
          <w:rFonts w:hint="eastAsia" w:cs="宋体"/>
          <w:b w:val="0"/>
          <w:bCs w:val="0"/>
          <w:color w:val="auto"/>
          <w:sz w:val="24"/>
          <w:szCs w:val="24"/>
          <w:highlight w:val="none"/>
          <w:lang w:val="en-US" w:eastAsia="zh-CN"/>
        </w:rPr>
        <w:t>配置的</w:t>
      </w:r>
      <w:r>
        <w:rPr>
          <w:rFonts w:hint="eastAsia" w:ascii="宋体" w:hAnsi="宋体" w:eastAsia="宋体" w:cs="宋体"/>
          <w:b w:val="0"/>
          <w:bCs w:val="0"/>
          <w:color w:val="auto"/>
          <w:sz w:val="24"/>
          <w:szCs w:val="24"/>
          <w:highlight w:val="none"/>
          <w:lang w:val="en-US" w:eastAsia="zh-CN"/>
        </w:rPr>
        <w:t>人员</w:t>
      </w:r>
      <w:r>
        <w:rPr>
          <w:rFonts w:hint="eastAsia" w:cs="宋体"/>
          <w:b w:val="0"/>
          <w:bCs w:val="0"/>
          <w:color w:val="auto"/>
          <w:sz w:val="24"/>
          <w:szCs w:val="24"/>
          <w:highlight w:val="none"/>
          <w:lang w:val="en-US" w:eastAsia="zh-CN"/>
        </w:rPr>
        <w:t>具有相关</w:t>
      </w:r>
      <w:r>
        <w:rPr>
          <w:rFonts w:hint="eastAsia" w:ascii="宋体" w:hAnsi="宋体" w:eastAsia="宋体" w:cs="宋体"/>
          <w:b w:val="0"/>
          <w:bCs w:val="0"/>
          <w:color w:val="auto"/>
          <w:sz w:val="24"/>
          <w:szCs w:val="24"/>
          <w:highlight w:val="none"/>
          <w:lang w:val="en-US" w:eastAsia="zh-CN"/>
        </w:rPr>
        <w:t>专业技术能力。</w:t>
      </w:r>
    </w:p>
    <w:p>
      <w:pPr>
        <w:keepNext w:val="0"/>
        <w:keepLines w:val="0"/>
        <w:pageBreakBefore w:val="0"/>
        <w:widowControl w:val="0"/>
        <w:kinsoku/>
        <w:wordWrap/>
        <w:overflowPunct/>
        <w:topLinePunct/>
        <w:autoSpaceDE/>
        <w:autoSpaceDN/>
        <w:bidi w:val="0"/>
        <w:adjustRightInd w:val="0"/>
        <w:snapToGrid w:val="0"/>
        <w:spacing w:line="44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2.投标人具有类似项目履约经验及相关认证。</w:t>
      </w:r>
    </w:p>
    <w:p>
      <w:pPr>
        <w:keepNext w:val="0"/>
        <w:keepLines w:val="0"/>
        <w:pageBreakBefore w:val="0"/>
        <w:widowControl w:val="0"/>
        <w:kinsoku/>
        <w:wordWrap/>
        <w:overflowPunct/>
        <w:topLinePunct/>
        <w:autoSpaceDE/>
        <w:autoSpaceDN/>
        <w:bidi w:val="0"/>
        <w:adjustRightInd w:val="0"/>
        <w:snapToGrid w:val="0"/>
        <w:spacing w:line="440" w:lineRule="exact"/>
        <w:ind w:lef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根据采购人院校所开设专业所需专业图书，投标人至少具有①机械工业出版社、②电子工业出版社、③人民交通出版社、④中国铁道出版社、⑤人民邮电出版社、⑥科学出版社、⑦中华书局、⑧社会科学文献出版社、⑨高等教育出版社、⑩外语教育与研究出版社、⑪商务印书馆、⑫清华大学出版社、⑬北京大学出版社、⑭中信出版社出版相关授权，具有提供出版社最新正版专业图书</w:t>
      </w:r>
      <w:r>
        <w:rPr>
          <w:rFonts w:hint="eastAsia" w:cs="宋体"/>
          <w:b w:val="0"/>
          <w:bCs w:val="0"/>
          <w:color w:val="auto"/>
          <w:sz w:val="24"/>
          <w:szCs w:val="24"/>
          <w:highlight w:val="none"/>
          <w:lang w:val="en-US" w:eastAsia="zh-CN"/>
        </w:rPr>
        <w:t>的能力</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autoSpaceDE/>
        <w:autoSpaceDN/>
        <w:bidi w:val="0"/>
        <w:adjustRightInd w:val="0"/>
        <w:snapToGrid w:val="0"/>
        <w:spacing w:line="440" w:lineRule="exact"/>
        <w:ind w:leftChars="0" w:firstLine="480" w:firstLineChars="200"/>
        <w:jc w:val="both"/>
        <w:textAlignment w:val="auto"/>
        <w:rPr>
          <w:rFonts w:hint="default"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4.投标人具有图书线上采访网站和服务平台，并能完成采购目录实时更新。</w:t>
      </w:r>
    </w:p>
    <w:p>
      <w:pPr>
        <w:keepNext w:val="0"/>
        <w:keepLines w:val="0"/>
        <w:pageBreakBefore w:val="0"/>
        <w:kinsoku/>
        <w:overflowPunct/>
        <w:topLinePunct/>
        <w:bidi w:val="0"/>
        <w:adjustRightInd w:val="0"/>
        <w:snapToGrid w:val="0"/>
        <w:spacing w:line="440" w:lineRule="exact"/>
        <w:ind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(二)实施方案</w:t>
      </w:r>
    </w:p>
    <w:p>
      <w:pPr>
        <w:keepNext w:val="0"/>
        <w:keepLines w:val="0"/>
        <w:pageBreakBefore w:val="0"/>
        <w:kinsoku/>
        <w:overflowPunct/>
        <w:topLinePunct/>
        <w:bidi w:val="0"/>
        <w:adjustRightInd w:val="0"/>
        <w:snapToGrid w:val="0"/>
        <w:spacing w:line="440" w:lineRule="exact"/>
        <w:ind w:leftChars="0"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投标人针对本项目制定实施方案，方案包含①服务需要的硬件设备(包含且不限于运输工具、电脑、条码打印机、无线条码采集仪、打包机等)、②人员配置及管理制度、③时间进度控制，④运输包装及分拣配送、⑤质量控制方案、⑥到货协助验收、调架整理方案，⑦换货方案等内容。</w:t>
      </w:r>
    </w:p>
    <w:bookmarkEnd w:id="1008"/>
    <w:bookmarkEnd w:id="1009"/>
    <w:bookmarkEnd w:id="1010"/>
    <w:bookmarkEnd w:id="1011"/>
    <w:bookmarkEnd w:id="1012"/>
    <w:bookmarkEnd w:id="1013"/>
    <w:p>
      <w:pPr>
        <w:pStyle w:val="49"/>
        <w:bidi w:val="0"/>
        <w:rPr>
          <w:rFonts w:hint="eastAsia"/>
          <w:color w:val="auto"/>
          <w:highlight w:val="none"/>
          <w:lang w:val="en-US" w:eastAsia="zh-CN"/>
        </w:rPr>
      </w:pPr>
      <w:r>
        <w:rPr>
          <w:rFonts w:hint="eastAsia"/>
          <w:color w:val="auto"/>
          <w:highlight w:val="none"/>
          <w:lang w:val="en-US" w:eastAsia="zh-CN"/>
        </w:rPr>
        <w:t>注：</w:t>
      </w:r>
      <w:r>
        <w:rPr>
          <w:rFonts w:hint="default"/>
          <w:color w:val="auto"/>
          <w:highlight w:val="none"/>
          <w:lang w:val="en-US" w:eastAsia="zh-CN"/>
        </w:rPr>
        <w:t>①</w:t>
      </w:r>
      <w:r>
        <w:rPr>
          <w:rFonts w:hint="eastAsia"/>
          <w:color w:val="auto"/>
          <w:highlight w:val="none"/>
          <w:lang w:val="en-US" w:eastAsia="zh-CN"/>
        </w:rPr>
        <w:t>投标人应当根据本项目实际情况提供真实、客观的履约能力证明材料。</w:t>
      </w:r>
    </w:p>
    <w:p>
      <w:pPr>
        <w:pStyle w:val="49"/>
        <w:bidi w:val="0"/>
        <w:rPr>
          <w:rFonts w:hint="eastAsia"/>
          <w:color w:val="auto"/>
          <w:highlight w:val="none"/>
          <w:lang w:val="en-US" w:eastAsia="zh-CN"/>
        </w:rPr>
      </w:pPr>
      <w:r>
        <w:rPr>
          <w:rFonts w:hint="default"/>
          <w:color w:val="auto"/>
          <w:highlight w:val="none"/>
          <w:lang w:val="en-US" w:eastAsia="zh-CN"/>
        </w:rPr>
        <w:t>②</w:t>
      </w:r>
      <w:r>
        <w:rPr>
          <w:rFonts w:hint="eastAsia"/>
          <w:color w:val="auto"/>
          <w:highlight w:val="none"/>
          <w:lang w:val="en-US" w:eastAsia="zh-CN"/>
        </w:rPr>
        <w:t>投标人应当保证所提交的所有材料的真实性，若提交虚假材料谋取中标的，应当将该投标人按失信行为记入诚信档案。</w:t>
      </w:r>
    </w:p>
    <w:p>
      <w:pPr>
        <w:pStyle w:val="49"/>
        <w:bidi w:val="0"/>
        <w:rPr>
          <w:rFonts w:hint="eastAsia"/>
          <w:color w:val="auto"/>
          <w:highlight w:val="none"/>
          <w:lang w:val="en-US" w:eastAsia="zh-CN"/>
        </w:rPr>
      </w:pPr>
      <w:r>
        <w:rPr>
          <w:rFonts w:hint="default"/>
          <w:color w:val="auto"/>
          <w:highlight w:val="none"/>
          <w:lang w:val="en-US" w:eastAsia="zh-CN"/>
        </w:rPr>
        <w:t>③</w:t>
      </w:r>
      <w:r>
        <w:rPr>
          <w:rFonts w:hint="eastAsia"/>
          <w:color w:val="auto"/>
          <w:highlight w:val="none"/>
          <w:lang w:val="en-US" w:eastAsia="zh-CN"/>
        </w:rPr>
        <w:t>投标人根据项目的实际需求和具体情况实事求是地编制文件，能具体量化，具有可行性及便于监督考核，不得违反法律、法规规定。</w:t>
      </w:r>
    </w:p>
    <w:p>
      <w:pPr>
        <w:pStyle w:val="49"/>
        <w:keepNext w:val="0"/>
        <w:keepLines w:val="0"/>
        <w:pageBreakBefore w:val="0"/>
        <w:widowControl w:val="0"/>
        <w:kinsoku/>
        <w:wordWrap w:val="0"/>
        <w:overflowPunct/>
        <w:bidi w:val="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注意：本章带“▲”号项目作为重要技术指标要求，如未满足将根据评分办法规定进行扣分。带“★”号条款为实质性要求，投标人若未满足的，将被视为无效投标。</w:t>
      </w:r>
    </w:p>
    <w:p>
      <w:pPr>
        <w:pStyle w:val="25"/>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984"/>
    <w:bookmarkEnd w:id="985"/>
    <w:bookmarkEnd w:id="986"/>
    <w:p>
      <w:pPr>
        <w:pStyle w:val="24"/>
        <w:numPr>
          <w:ilvl w:val="0"/>
          <w:numId w:val="11"/>
        </w:numPr>
        <w:bidi w:val="0"/>
        <w:rPr>
          <w:rFonts w:hint="eastAsia" w:ascii="宋体" w:hAnsi="宋体" w:eastAsia="宋体" w:cs="宋体"/>
          <w:color w:val="auto"/>
          <w:highlight w:val="none"/>
        </w:rPr>
      </w:pPr>
      <w:bookmarkStart w:id="1038" w:name="_Toc32447"/>
      <w:bookmarkStart w:id="1039" w:name="_Toc6064"/>
      <w:bookmarkStart w:id="1040" w:name="_Toc10570"/>
      <w:bookmarkStart w:id="1041" w:name="_Toc319439946"/>
      <w:bookmarkStart w:id="1042" w:name="_Toc3881"/>
      <w:bookmarkStart w:id="1043" w:name="_Toc308084645"/>
      <w:bookmarkStart w:id="1044" w:name="_Toc217446097"/>
      <w:bookmarkStart w:id="1045" w:name="_Toc25435"/>
      <w:bookmarkStart w:id="1046" w:name="_Toc183582280"/>
      <w:bookmarkStart w:id="1047" w:name="_Toc309897563"/>
      <w:bookmarkStart w:id="1048" w:name="_Toc183682415"/>
      <w:bookmarkStart w:id="1049" w:name="_Toc327196339"/>
      <w:bookmarkStart w:id="1050" w:name="_Toc25959"/>
      <w:bookmarkStart w:id="1051" w:name="_Toc4553"/>
      <w:bookmarkStart w:id="1052" w:name="_Toc11039"/>
      <w:bookmarkStart w:id="1053" w:name="_Toc21302"/>
      <w:bookmarkStart w:id="1054" w:name="_Toc319440188"/>
      <w:bookmarkStart w:id="1055" w:name="_Toc208849007"/>
      <w:bookmarkStart w:id="1056" w:name="_Toc308188198"/>
      <w:bookmarkStart w:id="1057" w:name="_Toc307564896"/>
      <w:bookmarkStart w:id="1058" w:name="_Toc1543"/>
      <w:bookmarkStart w:id="1059" w:name="_Toc2232"/>
      <w:bookmarkStart w:id="1060" w:name="_Toc483"/>
      <w:bookmarkStart w:id="1061" w:name="_Toc307501154"/>
      <w:bookmarkStart w:id="1062" w:name="_Toc26923"/>
      <w:r>
        <w:rPr>
          <w:rFonts w:hint="eastAsia" w:ascii="宋体" w:hAnsi="宋体" w:eastAsia="宋体" w:cs="宋体"/>
          <w:color w:val="auto"/>
          <w:highlight w:val="none"/>
        </w:rPr>
        <w:t>评标办法</w:t>
      </w:r>
      <w:bookmarkEnd w:id="1038"/>
      <w:bookmarkEnd w:id="1039"/>
      <w:bookmarkEnd w:id="1040"/>
      <w:bookmarkStart w:id="1063" w:name="_Hlt101846155"/>
      <w:bookmarkEnd w:id="1063"/>
    </w:p>
    <w:p>
      <w:pPr>
        <w:pStyle w:val="26"/>
        <w:numPr>
          <w:ilvl w:val="1"/>
          <w:numId w:val="11"/>
        </w:numPr>
        <w:bidi w:val="0"/>
        <w:rPr>
          <w:rFonts w:hint="eastAsia" w:ascii="宋体" w:hAnsi="宋体" w:eastAsia="宋体" w:cs="宋体"/>
          <w:color w:val="auto"/>
          <w:highlight w:val="none"/>
        </w:rPr>
      </w:pPr>
      <w:bookmarkStart w:id="1064" w:name="_Toc7883"/>
      <w:bookmarkStart w:id="1065" w:name="_Toc16563"/>
      <w:r>
        <w:rPr>
          <w:rFonts w:hint="eastAsia" w:ascii="宋体" w:hAnsi="宋体" w:eastAsia="宋体" w:cs="宋体"/>
          <w:color w:val="auto"/>
          <w:highlight w:val="none"/>
        </w:rPr>
        <w:t>总则</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4"/>
      <w:bookmarkEnd w:id="1065"/>
    </w:p>
    <w:p>
      <w:pPr>
        <w:pStyle w:val="37"/>
        <w:numPr>
          <w:ilvl w:val="1"/>
          <w:numId w:val="28"/>
        </w:num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根据《中华人民共和国政府采购法》、《中华人民共和国政府采购法实施条例》和《政府采购货物和服务招标投标管理办法》</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财政部令第</w:t>
      </w:r>
      <w:r>
        <w:rPr>
          <w:rFonts w:hint="eastAsia" w:ascii="宋体" w:hAnsi="宋体" w:eastAsia="宋体" w:cs="宋体"/>
          <w:b w:val="0"/>
          <w:bCs w:val="0"/>
          <w:color w:val="auto"/>
          <w:highlight w:val="none"/>
          <w:lang w:val="en-US" w:eastAsia="zh-CN"/>
        </w:rPr>
        <w:t>87</w:t>
      </w:r>
      <w:r>
        <w:rPr>
          <w:rFonts w:hint="eastAsia" w:ascii="宋体" w:hAnsi="宋体" w:eastAsia="宋体" w:cs="宋体"/>
          <w:b w:val="0"/>
          <w:bCs w:val="0"/>
          <w:color w:val="auto"/>
          <w:highlight w:val="none"/>
        </w:rPr>
        <w:t>号</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等法律规章，结合采购项目特点制定本评标办法。</w:t>
      </w:r>
    </w:p>
    <w:p>
      <w:pPr>
        <w:pStyle w:val="37"/>
        <w:numPr>
          <w:ilvl w:val="1"/>
          <w:numId w:val="28"/>
        </w:num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评标工作由采购代理机构负责组织，具体评标事务由采购代理机构依法组建的评标委员会负责。评标委员会由采购人代表和有关技术、经济等方面的专家组成。</w:t>
      </w:r>
    </w:p>
    <w:p>
      <w:pPr>
        <w:pStyle w:val="37"/>
        <w:numPr>
          <w:ilvl w:val="1"/>
          <w:numId w:val="28"/>
        </w:num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评标工作应遵循公平、公正、科学及择优的原则，并以相同的评标程序和标准对待所有的投标人。</w:t>
      </w:r>
    </w:p>
    <w:p>
      <w:pPr>
        <w:pStyle w:val="37"/>
        <w:numPr>
          <w:ilvl w:val="1"/>
          <w:numId w:val="28"/>
        </w:num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评标委员会按照招标文件规定的评标方法和标准进行评标，并独立履行下列职责：</w:t>
      </w:r>
    </w:p>
    <w:p>
      <w:pPr>
        <w:pStyle w:val="39"/>
        <w:numPr>
          <w:ilvl w:val="2"/>
          <w:numId w:val="29"/>
        </w:numPr>
        <w:bidi w:val="0"/>
        <w:rPr>
          <w:rFonts w:hint="eastAsia" w:ascii="宋体" w:hAnsi="宋体" w:eastAsia="宋体" w:cs="宋体"/>
          <w:b w:val="0"/>
          <w:bCs w:val="0"/>
          <w:color w:val="auto"/>
          <w:highlight w:val="none"/>
        </w:rPr>
      </w:pPr>
      <w:bookmarkStart w:id="1066" w:name="_Toc217446098"/>
      <w:r>
        <w:rPr>
          <w:rFonts w:hint="eastAsia" w:ascii="宋体" w:hAnsi="宋体" w:eastAsia="宋体" w:cs="宋体"/>
          <w:b w:val="0"/>
          <w:bCs w:val="0"/>
          <w:color w:val="auto"/>
          <w:highlight w:val="none"/>
        </w:rPr>
        <w:t>审查、评价投标文件是否符合招标文件的商务、技术等实质性要求；</w:t>
      </w:r>
    </w:p>
    <w:p>
      <w:pPr>
        <w:pStyle w:val="39"/>
        <w:numPr>
          <w:ilvl w:val="2"/>
          <w:numId w:val="29"/>
        </w:num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要求投标人对投标文件有关事项作出澄清或者说明；</w:t>
      </w:r>
    </w:p>
    <w:p>
      <w:pPr>
        <w:pStyle w:val="39"/>
        <w:numPr>
          <w:ilvl w:val="2"/>
          <w:numId w:val="29"/>
        </w:num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对投标文件进行比较和评价；</w:t>
      </w:r>
    </w:p>
    <w:p>
      <w:pPr>
        <w:pStyle w:val="39"/>
        <w:numPr>
          <w:ilvl w:val="2"/>
          <w:numId w:val="29"/>
        </w:num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确定中标候选人名单；</w:t>
      </w:r>
    </w:p>
    <w:p>
      <w:pPr>
        <w:pStyle w:val="39"/>
        <w:numPr>
          <w:ilvl w:val="2"/>
          <w:numId w:val="29"/>
        </w:num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向采购人、采购代理机构或者有关部门报告评标中发现的违法行为。</w:t>
      </w:r>
    </w:p>
    <w:p>
      <w:pPr>
        <w:pStyle w:val="37"/>
        <w:numPr>
          <w:ilvl w:val="1"/>
          <w:numId w:val="29"/>
        </w:num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评标过程独立、保密。投标人非法干预评标过程的行为将导致其投标文件作为无效处理。</w:t>
      </w:r>
    </w:p>
    <w:p>
      <w:pPr>
        <w:pStyle w:val="37"/>
        <w:numPr>
          <w:ilvl w:val="1"/>
          <w:numId w:val="29"/>
        </w:num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评标委员会评价投标文件的响应性，对于投标人而言，除评标委员会要求其澄清、说明或者纠正而提供的资料外，仅依据投标文件本身的内容，不寻求其他外部证据。</w:t>
      </w:r>
    </w:p>
    <w:p>
      <w:pPr>
        <w:pStyle w:val="37"/>
        <w:numPr>
          <w:ilvl w:val="1"/>
          <w:numId w:val="29"/>
        </w:num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评委会发现招标文件表述不明确或需要说明的事项，可提请招标采购单位书面解释说明。发现招标文件违反有关法律、法规和规章的，可以拒绝评标，并向招标采购单位书面说明情况</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注明法律法规依据)</w:t>
      </w:r>
      <w:r>
        <w:rPr>
          <w:rFonts w:hint="eastAsia" w:ascii="宋体" w:hAnsi="宋体" w:eastAsia="宋体" w:cs="宋体"/>
          <w:b w:val="0"/>
          <w:bCs w:val="0"/>
          <w:color w:val="auto"/>
          <w:highlight w:val="none"/>
        </w:rPr>
        <w:t>。</w:t>
      </w:r>
    </w:p>
    <w:p>
      <w:pPr>
        <w:pStyle w:val="26"/>
        <w:numPr>
          <w:ilvl w:val="1"/>
          <w:numId w:val="11"/>
        </w:numPr>
        <w:bidi w:val="0"/>
        <w:rPr>
          <w:rFonts w:hint="eastAsia" w:ascii="宋体" w:hAnsi="宋体" w:eastAsia="宋体" w:cs="宋体"/>
          <w:color w:val="auto"/>
          <w:highlight w:val="none"/>
        </w:rPr>
      </w:pPr>
      <w:bookmarkStart w:id="1067" w:name="_Toc25612"/>
      <w:bookmarkStart w:id="1068" w:name="_Toc5152"/>
      <w:bookmarkStart w:id="1069" w:name="_Toc23669"/>
      <w:bookmarkStart w:id="1070" w:name="_Toc3915"/>
      <w:bookmarkStart w:id="1071" w:name="_Toc327196340"/>
      <w:bookmarkStart w:id="1072" w:name="_Toc319440189"/>
      <w:bookmarkStart w:id="1073" w:name="_Toc31714"/>
      <w:bookmarkStart w:id="1074" w:name="_Toc26792"/>
      <w:bookmarkStart w:id="1075" w:name="_Toc14100"/>
      <w:bookmarkStart w:id="1076" w:name="_Toc8496"/>
      <w:bookmarkStart w:id="1077" w:name="_Toc5338"/>
      <w:bookmarkStart w:id="1078" w:name="_Toc3371"/>
      <w:bookmarkStart w:id="1079" w:name="_Toc12975"/>
      <w:bookmarkStart w:id="1080" w:name="_Toc10398"/>
      <w:r>
        <w:rPr>
          <w:rFonts w:hint="eastAsia" w:ascii="宋体" w:hAnsi="宋体" w:eastAsia="宋体" w:cs="宋体"/>
          <w:color w:val="auto"/>
          <w:highlight w:val="none"/>
        </w:rPr>
        <w:t>评标方法</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本项目评标方法为：综合评分法。</w:t>
      </w:r>
    </w:p>
    <w:p>
      <w:pPr>
        <w:pStyle w:val="26"/>
        <w:numPr>
          <w:ilvl w:val="1"/>
          <w:numId w:val="11"/>
        </w:numPr>
        <w:bidi w:val="0"/>
        <w:rPr>
          <w:rFonts w:hint="eastAsia" w:ascii="宋体" w:hAnsi="宋体" w:eastAsia="宋体" w:cs="宋体"/>
          <w:color w:val="auto"/>
          <w:highlight w:val="none"/>
        </w:rPr>
      </w:pPr>
      <w:bookmarkStart w:id="1081" w:name="_Toc5906"/>
      <w:bookmarkStart w:id="1082" w:name="_Toc31954"/>
      <w:bookmarkStart w:id="1083" w:name="_Toc12883"/>
      <w:bookmarkStart w:id="1084" w:name="_Toc5897"/>
      <w:bookmarkStart w:id="1085" w:name="_Toc31119"/>
      <w:bookmarkStart w:id="1086" w:name="_Toc319440190"/>
      <w:bookmarkStart w:id="1087" w:name="_Toc19196"/>
      <w:bookmarkStart w:id="1088" w:name="_Toc7390"/>
      <w:bookmarkStart w:id="1089" w:name="_Toc27103"/>
      <w:bookmarkStart w:id="1090" w:name="_Toc17613"/>
      <w:bookmarkStart w:id="1091" w:name="_Toc9969"/>
      <w:bookmarkStart w:id="1092" w:name="_Toc17374"/>
      <w:bookmarkStart w:id="1093" w:name="_Toc23322"/>
      <w:bookmarkStart w:id="1094" w:name="_Toc327196341"/>
      <w:r>
        <w:rPr>
          <w:rFonts w:hint="eastAsia" w:ascii="宋体" w:hAnsi="宋体" w:eastAsia="宋体" w:cs="宋体"/>
          <w:color w:val="auto"/>
          <w:highlight w:val="none"/>
        </w:rPr>
        <w:t>评标程序</w:t>
      </w:r>
      <w:bookmarkEnd w:id="1066"/>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pPr>
        <w:pStyle w:val="37"/>
        <w:numPr>
          <w:ilvl w:val="1"/>
          <w:numId w:val="30"/>
        </w:num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熟悉</w:t>
      </w:r>
      <w:r>
        <w:rPr>
          <w:rFonts w:hint="eastAsia" w:ascii="宋体" w:hAnsi="宋体" w:eastAsia="宋体" w:cs="宋体"/>
          <w:color w:val="auto"/>
          <w:highlight w:val="none"/>
        </w:rPr>
        <w:t>招标文件和停止评标</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评标委员会正式评标前，应当</w:t>
      </w:r>
      <w:r>
        <w:rPr>
          <w:rFonts w:hint="eastAsia" w:ascii="宋体" w:hAnsi="宋体" w:eastAsia="宋体" w:cs="宋体"/>
          <w:color w:val="auto"/>
          <w:highlight w:val="none"/>
          <w:lang w:val="en-US" w:eastAsia="zh-CN"/>
        </w:rPr>
        <w:t>熟悉招标文件</w:t>
      </w:r>
      <w:r>
        <w:rPr>
          <w:rFonts w:hint="eastAsia" w:ascii="宋体" w:hAnsi="宋体" w:eastAsia="宋体" w:cs="宋体"/>
          <w:color w:val="auto"/>
          <w:highlight w:val="none"/>
        </w:rPr>
        <w:t>，主要包括招标文件中</w:t>
      </w:r>
      <w:r>
        <w:rPr>
          <w:rFonts w:hint="eastAsia" w:ascii="宋体" w:hAnsi="宋体" w:eastAsia="宋体" w:cs="宋体"/>
          <w:color w:val="auto"/>
          <w:highlight w:val="none"/>
          <w:lang w:val="en-US" w:eastAsia="zh-CN"/>
        </w:rPr>
        <w:t>符合性审查内容</w:t>
      </w:r>
      <w:r>
        <w:rPr>
          <w:rFonts w:hint="eastAsia" w:ascii="宋体" w:hAnsi="宋体" w:eastAsia="宋体" w:cs="宋体"/>
          <w:color w:val="auto"/>
          <w:highlight w:val="none"/>
        </w:rPr>
        <w:t>、采购项目技术、服务和商务要求、评标方法和标准以及政府采购合同主要条款等。</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ascii="宋体" w:hAnsi="宋体" w:eastAsia="宋体" w:cs="宋体"/>
          <w:color w:val="auto"/>
          <w:highlight w:val="none"/>
          <w:lang w:eastAsia="zh-CN"/>
        </w:rPr>
        <w:t>。</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评标过程中有下列情形之一的，评标委员会成员可以停止评标：</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招标采购单位未提供必要的与采购项目有关的政策制度文件或者</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文件，继续评标将导致违法或者错误评标的；</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有关单位和个人非法干预评标委员会依法独立评标的；</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其他导致评标委员会无法正常履职的情形。</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出现本条规定应当停止评标或者可以停止评标情形的，评标委员会成员应当向招标采购单位书面说明情况。除本条规定的情形外，评标委员会成员不得以任何方式和理由停止评标。</w:t>
      </w:r>
    </w:p>
    <w:p>
      <w:pPr>
        <w:pStyle w:val="37"/>
        <w:numPr>
          <w:ilvl w:val="1"/>
          <w:numId w:val="29"/>
        </w:num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符合性审查</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包括单独递交的开标一览表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有下列情形的，本项目不作为实质性要求进行规定，即不作为符合性审查事项，不得作为无效投标处理：</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正副本数量齐全，只是未按照招标文件要求进行分装或者统装的；</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存在个别地方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不超过2个</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没有法定代表人签字，但有法定代表人的私人印章或者有效授权代理人签字的；</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除招标文件明确要求加盖单位(法人)公章的以外，其他地方以相关专用章加盖的；</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以骑缝章的形式代替投标文件内容逐页盖章的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但是骑缝章模糊不清，印章名称无法辨认的除外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其他不影响采购项目实质性要求的情形。</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除政府采购法律制度规定的情形外，本项目投标人或者其投标文件有下列情形之一的，作为无效投标处理：</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投标文件正副本数量不足的；</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投标文件组成明显不符合招标文件的规定要求，影响评标委员会评判的；</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投标文件的格式、语言、计量单位、报价货币、知识产权、投标有效期等不符合招标文件的规定，影响评标委员会评判的；</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投标报价不符合招标文件规定的价格标底和其他报价规定的；</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技术、服务应答内容没有完全响应招标文件的实质性要求的；</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招标文件有明确要求，但投标文件未载明或者载明的采购项目履约时间、方式、数量与招标文件要求不一致的</w:t>
      </w:r>
      <w:r>
        <w:rPr>
          <w:rFonts w:hint="eastAsia" w:ascii="宋体" w:hAnsi="宋体" w:eastAsia="宋体" w:cs="宋体"/>
          <w:color w:val="auto"/>
          <w:highlight w:val="none"/>
          <w:lang w:eastAsia="zh-CN"/>
        </w:rPr>
        <w:t>；</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投标文件含有采购人不能接受的附加条件的</w:t>
      </w:r>
      <w:r>
        <w:rPr>
          <w:rFonts w:hint="eastAsia" w:ascii="宋体" w:hAnsi="宋体" w:eastAsia="宋体" w:cs="宋体"/>
          <w:color w:val="auto"/>
          <w:highlight w:val="none"/>
          <w:lang w:eastAsia="zh-CN"/>
        </w:rPr>
        <w:t>。</w:t>
      </w:r>
    </w:p>
    <w:p>
      <w:pPr>
        <w:pStyle w:val="37"/>
        <w:numPr>
          <w:ilvl w:val="1"/>
          <w:numId w:val="29"/>
        </w:num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比较与评价</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评标委员会应当按照</w:t>
      </w:r>
      <w:r>
        <w:rPr>
          <w:rFonts w:hint="eastAsia" w:ascii="宋体" w:hAnsi="宋体" w:eastAsia="宋体" w:cs="宋体"/>
          <w:color w:val="auto"/>
          <w:highlight w:val="none"/>
        </w:rPr>
        <w:t>招标文件中规定的评标方法和标准，对</w:t>
      </w:r>
      <w:r>
        <w:rPr>
          <w:rFonts w:hint="eastAsia" w:ascii="宋体" w:hAnsi="宋体" w:eastAsia="宋体" w:cs="宋体"/>
          <w:color w:val="auto"/>
          <w:highlight w:val="none"/>
          <w:lang w:val="en-US" w:eastAsia="zh-CN"/>
        </w:rPr>
        <w:t>符合性审查合格的</w:t>
      </w:r>
      <w:r>
        <w:rPr>
          <w:rFonts w:hint="eastAsia" w:ascii="宋体" w:hAnsi="宋体" w:eastAsia="宋体" w:cs="宋体"/>
          <w:color w:val="auto"/>
          <w:highlight w:val="none"/>
        </w:rPr>
        <w:t>投标文件进行商务</w:t>
      </w:r>
      <w:r>
        <w:rPr>
          <w:rFonts w:hint="eastAsia" w:ascii="宋体" w:hAnsi="宋体" w:eastAsia="宋体" w:cs="宋体"/>
          <w:color w:val="auto"/>
          <w:highlight w:val="none"/>
          <w:lang w:val="en-US" w:eastAsia="zh-CN"/>
        </w:rPr>
        <w:t>和技术</w:t>
      </w:r>
      <w:r>
        <w:rPr>
          <w:rFonts w:hint="eastAsia" w:ascii="宋体" w:hAnsi="宋体" w:eastAsia="宋体" w:cs="宋体"/>
          <w:color w:val="auto"/>
          <w:highlight w:val="none"/>
        </w:rPr>
        <w:t>评估，综合比较与评价。</w:t>
      </w:r>
    </w:p>
    <w:p>
      <w:pPr>
        <w:pStyle w:val="37"/>
        <w:numPr>
          <w:ilvl w:val="1"/>
          <w:numId w:val="29"/>
        </w:num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评标争议处理规则</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评标委员会成员在评标过程中，对于符合性</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37"/>
        <w:numPr>
          <w:ilvl w:val="1"/>
          <w:numId w:val="29"/>
        </w:num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供应商应当书面澄清、说明或者纠正</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在评标过程中，评标委员会对投标文件中含义不明确、同类问题表述不一致或者有明显文字和计算错误的内容，应当以书面形式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须由评标委员会全体成员签字</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要求供应商作出必要的书面澄清、说明或者纠正，并给予供应商必要的反馈时间。</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供应商应当书面澄清、说明或者纠正，并加盖公章或签字确认</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供应商为法人的，应当由其法定代表人或者代理人签字确认；供应商为其他组织的，应当由其主要负责人或者代理人签字确认；供应商为自然人的，应当由其本人或者代理人签字确认</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，否则无效。澄清、说明或者纠正不影响投标文件的效力，有效的澄清、说明或者纠正材料，是投标文件的组成部分。</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评标委员会要求供应商澄清、说明或者更正，不得超出招标文件的范围，不得以此让供应商实质改变投标文件的内容，不得影响供应商公平竞争。本项目下列内容不得澄清：</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按财政部规定应当在评标时不予承认的投标文件内容事项；</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投标文件中已经明确的内容事项；</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投标文件未提供的材料。</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本项目采购过程中，投标文件出现下列情况的，不需要供应商澄清、说明或者纠正，按照以下原则处理：</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投标文件的大写</w:t>
      </w:r>
      <w:r>
        <w:rPr>
          <w:rFonts w:hint="eastAsia" w:cs="宋体"/>
          <w:color w:val="auto"/>
          <w:highlight w:val="none"/>
          <w:lang w:val="en-US" w:eastAsia="zh-CN"/>
        </w:rPr>
        <w:t>报价</w:t>
      </w:r>
      <w:r>
        <w:rPr>
          <w:rFonts w:hint="eastAsia" w:ascii="宋体" w:hAnsi="宋体" w:eastAsia="宋体" w:cs="宋体"/>
          <w:color w:val="auto"/>
          <w:highlight w:val="none"/>
        </w:rPr>
        <w:t>和小写</w:t>
      </w:r>
      <w:r>
        <w:rPr>
          <w:rFonts w:hint="eastAsia" w:cs="宋体"/>
          <w:color w:val="auto"/>
          <w:highlight w:val="none"/>
          <w:lang w:val="en-US" w:eastAsia="zh-CN"/>
        </w:rPr>
        <w:t>报价</w:t>
      </w:r>
      <w:r>
        <w:rPr>
          <w:rFonts w:hint="eastAsia" w:ascii="宋体" w:hAnsi="宋体" w:eastAsia="宋体" w:cs="宋体"/>
          <w:color w:val="auto"/>
          <w:highlight w:val="none"/>
        </w:rPr>
        <w:t>不一致的，以大写</w:t>
      </w:r>
      <w:r>
        <w:rPr>
          <w:rFonts w:hint="eastAsia" w:cs="宋体"/>
          <w:color w:val="auto"/>
          <w:highlight w:val="none"/>
          <w:lang w:val="en-US" w:eastAsia="zh-CN"/>
        </w:rPr>
        <w:t>报价</w:t>
      </w:r>
      <w:r>
        <w:rPr>
          <w:rFonts w:hint="eastAsia" w:ascii="宋体" w:hAnsi="宋体" w:eastAsia="宋体" w:cs="宋体"/>
          <w:color w:val="auto"/>
          <w:highlight w:val="none"/>
        </w:rPr>
        <w:t>为准，但大写金额出现文字错误，导致金额无法判断的除外；</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对不同语言文本投标文件的解释发生异议的，以中文文本为准。</w:t>
      </w:r>
    </w:p>
    <w:p>
      <w:pPr>
        <w:pStyle w:val="49"/>
        <w:bidi w:val="0"/>
        <w:rPr>
          <w:rFonts w:hint="eastAsia" w:ascii="宋体" w:hAnsi="宋体" w:eastAsia="宋体" w:cs="宋体"/>
          <w:color w:val="auto"/>
          <w:highlight w:val="none"/>
        </w:rPr>
      </w:pPr>
      <w:r>
        <w:rPr>
          <w:rFonts w:hint="eastAsia" w:ascii="宋体" w:hAnsi="宋体" w:eastAsia="宋体" w:cs="宋体"/>
          <w:color w:val="auto"/>
          <w:highlight w:val="none"/>
        </w:rPr>
        <w:t>注：评标委员会成员应当积极履行澄清、说明或者纠正的职责，不得将应当澄清、说明或者纠正的投标文件作无效投标处理。</w:t>
      </w:r>
    </w:p>
    <w:p>
      <w:pPr>
        <w:pStyle w:val="37"/>
        <w:numPr>
          <w:ilvl w:val="1"/>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投标文件报价出现前后不一致的，除招标文件另有规定外，按照下列规定修正：</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投标文件中开标一览表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报价表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内容与投标文件中相应内容不一致的，以开标唱标</w:t>
      </w:r>
      <w:r>
        <w:rPr>
          <w:rFonts w:hint="eastAsia" w:ascii="宋体" w:hAnsi="宋体" w:eastAsia="宋体" w:cs="宋体"/>
          <w:color w:val="auto"/>
          <w:highlight w:val="none"/>
          <w:lang w:eastAsia="zh-CN"/>
        </w:rPr>
        <w:t>时</w:t>
      </w:r>
      <w:r>
        <w:rPr>
          <w:rFonts w:hint="eastAsia" w:ascii="宋体" w:hAnsi="宋体" w:eastAsia="宋体" w:cs="宋体"/>
          <w:color w:val="auto"/>
          <w:highlight w:val="none"/>
        </w:rPr>
        <w:t>单独提交的开标一览表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报价表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为准；</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大写金额和小写金额不一致的，以大写金额为准；</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单价金额小数点或者百分比有明显错位的，以开标一览表的总价为准，并修改单价；</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总价金额与按单价汇总金额不一致的，以单价金额计算结果为准。</w:t>
      </w:r>
    </w:p>
    <w:p>
      <w:pPr>
        <w:pStyle w:val="4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同时出现两种以上不一致的，按照前款规定的顺序修正。修正后的报价按照《政府采购货物和服务招标投标管理办法》</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财政部令第</w:t>
      </w:r>
      <w:r>
        <w:rPr>
          <w:rFonts w:hint="eastAsia" w:ascii="宋体" w:hAnsi="宋体" w:eastAsia="宋体" w:cs="宋体"/>
          <w:color w:val="auto"/>
          <w:highlight w:val="none"/>
          <w:lang w:val="en-US" w:eastAsia="zh-CN"/>
        </w:rPr>
        <w:t>87</w:t>
      </w:r>
      <w:r>
        <w:rPr>
          <w:rFonts w:hint="eastAsia" w:ascii="宋体" w:hAnsi="宋体" w:eastAsia="宋体" w:cs="宋体"/>
          <w:color w:val="auto"/>
          <w:highlight w:val="none"/>
        </w:rPr>
        <w:t>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第五十一条第二款的规定经投标人确认后产生约束力，投标人不确认的，其投标无效。</w:t>
      </w:r>
    </w:p>
    <w:p>
      <w:pPr>
        <w:pStyle w:val="37"/>
        <w:numPr>
          <w:ilvl w:val="1"/>
          <w:numId w:val="29"/>
        </w:num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低于成本价投标处理</w:t>
      </w:r>
    </w:p>
    <w:p>
      <w:pPr>
        <w:pStyle w:val="39"/>
        <w:numPr>
          <w:ilvl w:val="2"/>
          <w:numId w:val="29"/>
        </w:num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9"/>
        <w:numPr>
          <w:ilvl w:val="2"/>
          <w:numId w:val="29"/>
        </w:num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p>
      <w:pPr>
        <w:pStyle w:val="26"/>
        <w:numPr>
          <w:ilvl w:val="1"/>
          <w:numId w:val="11"/>
        </w:numPr>
        <w:bidi w:val="0"/>
        <w:rPr>
          <w:rFonts w:hint="eastAsia" w:ascii="宋体" w:hAnsi="宋体" w:eastAsia="宋体" w:cs="宋体"/>
          <w:color w:val="auto"/>
          <w:highlight w:val="none"/>
        </w:rPr>
      </w:pPr>
      <w:bookmarkStart w:id="1095" w:name="_Toc25587"/>
      <w:bookmarkStart w:id="1096" w:name="_Toc217446103"/>
      <w:bookmarkStart w:id="1097" w:name="_Toc308188199"/>
      <w:bookmarkStart w:id="1098" w:name="_Toc22389"/>
      <w:bookmarkStart w:id="1099" w:name="_Toc23140"/>
      <w:bookmarkStart w:id="1100" w:name="_Toc26213"/>
      <w:bookmarkStart w:id="1101" w:name="_Toc319440191"/>
      <w:bookmarkStart w:id="1102" w:name="_Toc21397"/>
      <w:bookmarkStart w:id="1103" w:name="_Toc24902"/>
      <w:bookmarkStart w:id="1104" w:name="_Toc327196342"/>
      <w:bookmarkStart w:id="1105" w:name="_Toc1756"/>
      <w:bookmarkStart w:id="1106" w:name="_Toc308084646"/>
      <w:bookmarkStart w:id="1107" w:name="_Toc28488"/>
      <w:bookmarkStart w:id="1108" w:name="_Toc23187"/>
      <w:bookmarkStart w:id="1109" w:name="_Toc307564897"/>
      <w:bookmarkStart w:id="1110" w:name="_Toc319439947"/>
      <w:bookmarkStart w:id="1111" w:name="_Toc307501155"/>
      <w:bookmarkStart w:id="1112" w:name="_Toc309897564"/>
      <w:bookmarkStart w:id="1113" w:name="_Toc2106"/>
      <w:bookmarkStart w:id="1114" w:name="_Toc27402"/>
      <w:bookmarkStart w:id="1115" w:name="_Toc30417"/>
      <w:r>
        <w:rPr>
          <w:rFonts w:hint="eastAsia" w:ascii="宋体" w:hAnsi="宋体" w:eastAsia="宋体" w:cs="宋体"/>
          <w:color w:val="auto"/>
          <w:highlight w:val="none"/>
        </w:rPr>
        <w:t>评标细则及标准</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pPr>
        <w:pStyle w:val="37"/>
        <w:numPr>
          <w:ilvl w:val="1"/>
          <w:numId w:val="31"/>
        </w:numPr>
        <w:bidi w:val="0"/>
        <w:rPr>
          <w:rFonts w:hint="eastAsia" w:ascii="宋体" w:hAnsi="宋体" w:eastAsia="宋体" w:cs="宋体"/>
          <w:color w:val="auto"/>
          <w:highlight w:val="none"/>
        </w:rPr>
      </w:pPr>
      <w:r>
        <w:rPr>
          <w:rFonts w:hint="eastAsia" w:ascii="宋体" w:hAnsi="宋体" w:eastAsia="宋体" w:cs="宋体"/>
          <w:color w:val="auto"/>
          <w:highlight w:val="none"/>
        </w:rPr>
        <w:t>评委会只对通过</w:t>
      </w:r>
      <w:r>
        <w:rPr>
          <w:rFonts w:hint="eastAsia" w:ascii="宋体" w:hAnsi="宋体" w:eastAsia="宋体" w:cs="宋体"/>
          <w:color w:val="auto"/>
          <w:highlight w:val="none"/>
          <w:lang w:val="en-US" w:eastAsia="zh-CN"/>
        </w:rPr>
        <w:t>符合性检查</w:t>
      </w:r>
      <w:r>
        <w:rPr>
          <w:rFonts w:hint="eastAsia" w:ascii="宋体" w:hAnsi="宋体" w:eastAsia="宋体" w:cs="宋体"/>
          <w:color w:val="auto"/>
          <w:highlight w:val="none"/>
        </w:rPr>
        <w:t>的投标文件，根据招标文件的要求采用相同的评标程序、评分办法及标准进行评价和比较。</w:t>
      </w:r>
    </w:p>
    <w:p>
      <w:pPr>
        <w:pStyle w:val="37"/>
        <w:numPr>
          <w:ilvl w:val="1"/>
          <w:numId w:val="31"/>
        </w:numPr>
        <w:bidi w:val="0"/>
        <w:rPr>
          <w:rFonts w:hint="eastAsia" w:ascii="宋体" w:hAnsi="宋体" w:eastAsia="宋体" w:cs="宋体"/>
          <w:color w:val="auto"/>
          <w:highlight w:val="none"/>
        </w:rPr>
      </w:pPr>
      <w:r>
        <w:rPr>
          <w:rFonts w:hint="eastAsia" w:ascii="宋体" w:hAnsi="宋体" w:eastAsia="宋体" w:cs="宋体"/>
          <w:color w:val="auto"/>
          <w:highlight w:val="none"/>
        </w:rPr>
        <w:t>本次综合评分的因素是：</w:t>
      </w:r>
      <w:r>
        <w:rPr>
          <w:rFonts w:hint="eastAsia" w:ascii="宋体" w:hAnsi="宋体" w:eastAsia="宋体" w:cs="宋体"/>
          <w:color w:val="auto"/>
          <w:highlight w:val="none"/>
          <w:lang w:val="en-US" w:eastAsia="zh-CN"/>
        </w:rPr>
        <w:t>详见“</w:t>
      </w:r>
      <w:r>
        <w:rPr>
          <w:rFonts w:hint="eastAsia" w:ascii="宋体" w:hAnsi="宋体" w:eastAsia="宋体" w:cs="宋体"/>
          <w:color w:val="auto"/>
          <w:highlight w:val="none"/>
        </w:rPr>
        <w:t>综合评分明细表</w:t>
      </w:r>
      <w:r>
        <w:rPr>
          <w:rFonts w:hint="eastAsia" w:ascii="宋体" w:hAnsi="宋体" w:eastAsia="宋体" w:cs="宋体"/>
          <w:color w:val="auto"/>
          <w:highlight w:val="none"/>
          <w:lang w:val="en-US" w:eastAsia="zh-CN"/>
        </w:rPr>
        <w:t>中的评分因素及权重”。</w:t>
      </w:r>
    </w:p>
    <w:p>
      <w:pPr>
        <w:pStyle w:val="37"/>
        <w:numPr>
          <w:ilvl w:val="1"/>
          <w:numId w:val="31"/>
        </w:numPr>
        <w:bidi w:val="0"/>
        <w:rPr>
          <w:rFonts w:hint="eastAsia" w:ascii="宋体" w:hAnsi="宋体" w:eastAsia="宋体" w:cs="宋体"/>
          <w:color w:val="auto"/>
          <w:highlight w:val="none"/>
        </w:rPr>
      </w:pPr>
      <w:r>
        <w:rPr>
          <w:rFonts w:hint="eastAsia" w:ascii="宋体" w:hAnsi="宋体" w:eastAsia="宋体" w:cs="宋体"/>
          <w:color w:val="auto"/>
          <w:highlight w:val="none"/>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37"/>
        <w:numPr>
          <w:ilvl w:val="1"/>
          <w:numId w:val="31"/>
        </w:num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评审得分计算方法</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A1＋A2＋……＋An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/NA＋</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B1＋B2＋……＋Bn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NB＋</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C1＋C2＋……＋Cn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NC＋</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D1＋D2＋……＋Dn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/ND</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A1、A2……An分别为每个经济类评委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经济类专家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的打分，NA为经济类评委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经济类专家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人数；B1、B2＋……Bn 分别为每个技术类评委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技术类专家和采购人代表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的打分，NB为技术类评委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技术类专家和采购人代表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人数；C1、C2……Cn 分别为每个政策合同类评委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法律类专家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的打分，NC为政策合同类评委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法律类专家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人数；D1、D2……Dn 分别为评审委员会每个成员的打分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共同评分类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，ND为评审委员会人数</w:t>
      </w:r>
      <w:r>
        <w:rPr>
          <w:rFonts w:hint="eastAsia" w:ascii="宋体" w:hAnsi="宋体" w:eastAsia="宋体" w:cs="宋体"/>
          <w:color w:val="auto"/>
          <w:sz w:val="24"/>
          <w:szCs w:val="24"/>
          <w:highlight w:val="none"/>
          <w:lang w:eastAsia="zh-CN"/>
        </w:rPr>
        <w:t>。</w:t>
      </w:r>
    </w:p>
    <w:p>
      <w:pPr>
        <w:pStyle w:val="37"/>
        <w:numPr>
          <w:ilvl w:val="1"/>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综合评分明细表</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综合评分明细表的制定以科学合理、降低评委会自由裁量权为原则。</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综合评分明细表</w:t>
      </w:r>
    </w:p>
    <w:tbl>
      <w:tblPr>
        <w:tblStyle w:val="19"/>
        <w:tblW w:w="10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35"/>
        <w:gridCol w:w="1092"/>
        <w:gridCol w:w="581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b/>
                <w:bCs/>
                <w:color w:val="auto"/>
                <w:sz w:val="21"/>
                <w:szCs w:val="21"/>
                <w:highlight w:val="none"/>
              </w:rPr>
            </w:pPr>
            <w:bookmarkStart w:id="1116" w:name="_Toc13245"/>
            <w:bookmarkStart w:id="1117" w:name="_Toc21671"/>
            <w:bookmarkStart w:id="1118" w:name="_Toc4648"/>
            <w:bookmarkStart w:id="1119" w:name="_Toc21363"/>
            <w:bookmarkStart w:id="1120" w:name="_Toc13513"/>
            <w:r>
              <w:rPr>
                <w:rFonts w:hint="eastAsia" w:ascii="宋体" w:hAnsi="宋体" w:eastAsia="宋体" w:cs="宋体"/>
                <w:b/>
                <w:bCs/>
                <w:color w:val="auto"/>
                <w:sz w:val="21"/>
                <w:szCs w:val="21"/>
                <w:highlight w:val="none"/>
              </w:rPr>
              <w:t>序号</w:t>
            </w:r>
          </w:p>
        </w:tc>
        <w:tc>
          <w:tcPr>
            <w:tcW w:w="1235"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及权重</w:t>
            </w:r>
          </w:p>
        </w:tc>
        <w:tc>
          <w:tcPr>
            <w:tcW w:w="1092"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5816"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314"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1235"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w:t>
            </w:r>
          </w:p>
        </w:tc>
        <w:tc>
          <w:tcPr>
            <w:tcW w:w="1092"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5816"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满足招标文件要求且投标价格最低的投标报价</w:t>
            </w:r>
            <w:r>
              <w:rPr>
                <w:rFonts w:hint="eastAsia" w:ascii="宋体" w:hAnsi="宋体" w:eastAsia="宋体" w:cs="宋体"/>
                <w:color w:val="auto"/>
                <w:sz w:val="21"/>
                <w:szCs w:val="21"/>
                <w:highlight w:val="none"/>
                <w:lang w:val="en-US" w:eastAsia="zh-CN"/>
              </w:rPr>
              <w:t>(1-下浮率)</w:t>
            </w:r>
            <w:r>
              <w:rPr>
                <w:rFonts w:hint="eastAsia" w:ascii="宋体" w:hAnsi="宋体" w:eastAsia="宋体" w:cs="宋体"/>
                <w:color w:val="auto"/>
                <w:sz w:val="21"/>
                <w:szCs w:val="21"/>
                <w:highlight w:val="none"/>
              </w:rPr>
              <w:t>为评标基准价，其价格分为满分。其他投标人的价格分统一按照下列公式计算：</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rPr>
              <w:t>评标基准价／投标报价</w:t>
            </w:r>
            <w:r>
              <w:rPr>
                <w:rFonts w:hint="eastAsia" w:ascii="宋体" w:hAnsi="宋体" w:eastAsia="宋体" w:cs="宋体"/>
                <w:color w:val="auto"/>
                <w:sz w:val="21"/>
                <w:szCs w:val="21"/>
                <w:highlight w:val="none"/>
                <w:lang w:val="en-US" w:eastAsia="zh-CN"/>
              </w:rPr>
              <w:t>(1-下浮率)</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注：1.小微企业(残疾人福利性单位、监狱企业视同小微企业)价格扣除及失信企业价格惩戒加成按照本招标文件投标人须知</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附表规定执行。</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2.评标过程中，不得去掉报价中的最高报价和最低报价。</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3.因落实政府采购政策进行价格调整的，以调整后的价格计算评标基准价和投标报价。</w:t>
            </w:r>
          </w:p>
        </w:tc>
        <w:tc>
          <w:tcPr>
            <w:tcW w:w="1314"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1235"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服务响应</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092"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5816"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完全响应招标文件第六章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技术、服务要求</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非实质性要求</w:t>
            </w:r>
            <w:r>
              <w:rPr>
                <w:rFonts w:hint="eastAsia" w:ascii="宋体" w:hAnsi="宋体" w:eastAsia="宋体" w:cs="宋体"/>
                <w:color w:val="auto"/>
                <w:sz w:val="21"/>
                <w:szCs w:val="21"/>
                <w:highlight w:val="none"/>
                <w:lang w:val="en-US" w:eastAsia="zh-CN"/>
              </w:rPr>
              <w:t>的得20分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每有一项(</w:t>
            </w:r>
            <w:r>
              <w:rPr>
                <w:rFonts w:hint="eastAsia" w:ascii="宋体" w:hAnsi="宋体" w:eastAsia="宋体" w:cs="宋体"/>
                <w:color w:val="auto"/>
                <w:sz w:val="21"/>
                <w:szCs w:val="21"/>
                <w:highlight w:val="none"/>
                <w:lang w:val="en-US" w:eastAsia="zh-CN"/>
              </w:rPr>
              <w:t>共10项</w:t>
            </w:r>
            <w:r>
              <w:rPr>
                <w:rFonts w:hint="eastAsia" w:ascii="宋体" w:hAnsi="宋体" w:eastAsia="宋体" w:cs="宋体"/>
                <w:color w:val="auto"/>
                <w:sz w:val="21"/>
                <w:szCs w:val="21"/>
                <w:highlight w:val="none"/>
              </w:rPr>
              <w:t>)重要指标(带“▲”号</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)有负偏离的，扣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扣完为止</w:t>
            </w:r>
            <w:r>
              <w:rPr>
                <w:rFonts w:hint="eastAsia" w:ascii="宋体" w:hAnsi="宋体" w:eastAsia="宋体" w:cs="宋体"/>
                <w:color w:val="auto"/>
                <w:sz w:val="21"/>
                <w:szCs w:val="21"/>
                <w:highlight w:val="none"/>
              </w:rPr>
              <w:t>。</w:t>
            </w:r>
          </w:p>
        </w:tc>
        <w:tc>
          <w:tcPr>
            <w:tcW w:w="1314"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技术类</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三</w:t>
            </w:r>
          </w:p>
        </w:tc>
        <w:tc>
          <w:tcPr>
            <w:tcW w:w="1235"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实施方案</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tc>
        <w:tc>
          <w:tcPr>
            <w:tcW w:w="1092"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c>
          <w:tcPr>
            <w:tcW w:w="5816" w:type="dxa"/>
            <w:vAlign w:val="center"/>
          </w:tcPr>
          <w:p>
            <w:pPr>
              <w:pStyle w:val="2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根据投标人针对本项目的项目实施方案进行综合评分</w:t>
            </w:r>
            <w:r>
              <w:rPr>
                <w:rFonts w:hint="eastAsia" w:cs="宋体"/>
                <w:color w:val="auto"/>
                <w:sz w:val="21"/>
                <w:szCs w:val="21"/>
                <w:highlight w:val="none"/>
                <w:lang w:val="en-US" w:eastAsia="zh-CN"/>
              </w:rPr>
              <w:t>，方案包含</w:t>
            </w:r>
            <w:r>
              <w:rPr>
                <w:rFonts w:hint="eastAsia" w:ascii="宋体" w:hAnsi="宋体" w:eastAsia="宋体" w:cs="宋体"/>
                <w:color w:val="auto"/>
                <w:sz w:val="21"/>
                <w:szCs w:val="21"/>
                <w:highlight w:val="none"/>
                <w:lang w:val="en-US" w:eastAsia="zh-CN"/>
              </w:rPr>
              <w:t>①服务需要的硬件设备(包含且不限于运输工具、电脑、条码打印机、无线条码采集仪、打包机等)，②人员配置及管理制度，③时间进度控制，④运输包装及分拣配送，⑤质量控制方案，⑥到货协助验收、调架整理方案，⑦换货方案等内容的得7分；每有一项缺项</w:t>
            </w:r>
            <w:r>
              <w:rPr>
                <w:rFonts w:hint="eastAsia"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扣1分，</w:t>
            </w:r>
            <w:r>
              <w:rPr>
                <w:rFonts w:hint="eastAsia" w:cs="宋体"/>
                <w:color w:val="auto"/>
                <w:sz w:val="21"/>
                <w:szCs w:val="21"/>
                <w:highlight w:val="none"/>
                <w:lang w:val="en-US" w:eastAsia="zh-CN"/>
              </w:rPr>
              <w:t>7分</w:t>
            </w:r>
            <w:r>
              <w:rPr>
                <w:rFonts w:hint="eastAsia" w:ascii="宋体" w:hAnsi="宋体" w:eastAsia="宋体" w:cs="宋体"/>
                <w:color w:val="auto"/>
                <w:sz w:val="21"/>
                <w:szCs w:val="21"/>
                <w:highlight w:val="none"/>
                <w:lang w:val="en-US" w:eastAsia="zh-CN"/>
              </w:rPr>
              <w:t>扣完为止。</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lang w:val="en-US" w:eastAsia="zh-CN"/>
              </w:rPr>
              <w:t>注：以评审专家结合项目实际情况和响应文件综合评定为准。</w:t>
            </w:r>
          </w:p>
        </w:tc>
        <w:tc>
          <w:tcPr>
            <w:tcW w:w="1314"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技术类</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四</w:t>
            </w:r>
          </w:p>
        </w:tc>
        <w:tc>
          <w:tcPr>
            <w:tcW w:w="1235"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综合实力</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092"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u w:val="none"/>
                <w:lang w:val="en-US" w:eastAsia="zh-CN"/>
              </w:rPr>
            </w:pP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5816"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rPr>
              <w:t>1.</w:t>
            </w:r>
            <w:r>
              <w:rPr>
                <w:rFonts w:hint="eastAsia" w:ascii="宋体" w:hAnsi="宋体" w:eastAsia="宋体" w:cs="宋体"/>
                <w:b w:val="0"/>
                <w:bCs w:val="0"/>
                <w:color w:val="auto"/>
                <w:sz w:val="21"/>
                <w:szCs w:val="21"/>
                <w:highlight w:val="none"/>
                <w:u w:val="none"/>
                <w:lang w:val="en-US" w:eastAsia="zh-CN"/>
              </w:rPr>
              <w:t>投标人具有</w:t>
            </w:r>
            <w:r>
              <w:rPr>
                <w:rFonts w:hint="eastAsia" w:ascii="宋体" w:hAnsi="宋体" w:eastAsia="宋体" w:cs="宋体"/>
                <w:b w:val="0"/>
                <w:bCs w:val="0"/>
                <w:color w:val="auto"/>
                <w:sz w:val="21"/>
                <w:szCs w:val="21"/>
                <w:highlight w:val="none"/>
                <w:u w:val="none"/>
              </w:rPr>
              <w:t>质量管理体系认证证书的得1分，</w:t>
            </w:r>
            <w:r>
              <w:rPr>
                <w:rFonts w:hint="eastAsia" w:ascii="宋体" w:hAnsi="宋体" w:eastAsia="宋体" w:cs="宋体"/>
                <w:b w:val="0"/>
                <w:bCs w:val="0"/>
                <w:color w:val="auto"/>
                <w:sz w:val="21"/>
                <w:szCs w:val="21"/>
                <w:highlight w:val="none"/>
                <w:u w:val="none"/>
                <w:lang w:val="en-US" w:eastAsia="zh-CN"/>
              </w:rPr>
              <w:t>具有</w:t>
            </w:r>
            <w:r>
              <w:rPr>
                <w:rFonts w:hint="eastAsia" w:ascii="宋体" w:hAnsi="宋体" w:eastAsia="宋体" w:cs="宋体"/>
                <w:b w:val="0"/>
                <w:bCs w:val="0"/>
                <w:color w:val="auto"/>
                <w:sz w:val="21"/>
                <w:szCs w:val="21"/>
                <w:highlight w:val="none"/>
                <w:u w:val="none"/>
              </w:rPr>
              <w:t>职业健康安全管理体系证书得1分</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本项最多得2分。</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注：提供有效期内的相关证书复印件。</w:t>
            </w:r>
          </w:p>
          <w:p>
            <w:pPr>
              <w:pStyle w:val="25"/>
              <w:keepNext w:val="0"/>
              <w:keepLines w:val="0"/>
              <w:pageBreakBefore w:val="0"/>
              <w:widowControl w:val="0"/>
              <w:numPr>
                <w:ilvl w:val="-1"/>
                <w:numId w:val="0"/>
              </w:numPr>
              <w:kinsoku/>
              <w:wordWrap w:val="0"/>
              <w:overflowPunct/>
              <w:autoSpaceDE/>
              <w:autoSpaceDN/>
              <w:bidi w:val="0"/>
              <w:adjustRightInd w:val="0"/>
              <w:snapToGrid w:val="0"/>
              <w:spacing w:line="320" w:lineRule="exact"/>
              <w:ind w:left="0" w:leftChars="0" w:right="12" w:rightChars="5" w:firstLine="0" w:firstLineChars="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2.投标人</w:t>
            </w:r>
            <w:r>
              <w:rPr>
                <w:rFonts w:hint="eastAsia" w:cs="宋体"/>
                <w:b w:val="0"/>
                <w:bCs w:val="0"/>
                <w:color w:val="auto"/>
                <w:sz w:val="21"/>
                <w:szCs w:val="21"/>
                <w:highlight w:val="none"/>
                <w:u w:val="none"/>
                <w:lang w:val="en-US" w:eastAsia="zh-CN"/>
              </w:rPr>
              <w:t>具有</w:t>
            </w:r>
            <w:r>
              <w:rPr>
                <w:rFonts w:hint="eastAsia" w:ascii="宋体" w:hAnsi="宋体" w:eastAsia="宋体" w:cs="宋体"/>
                <w:b w:val="0"/>
                <w:bCs w:val="0"/>
                <w:color w:val="auto"/>
                <w:sz w:val="21"/>
                <w:szCs w:val="21"/>
                <w:highlight w:val="none"/>
                <w:u w:val="none"/>
                <w:lang w:val="en-US" w:eastAsia="zh-CN"/>
              </w:rPr>
              <w:t>①机械工业出版社、②电子工业出版社、③人民交通出版社、④中国铁道出版社、⑤人民邮电出版社、⑥科学出版社、⑦中华书局、⑧社会科学文献出版社、⑨高等教育出版社、⑩外语教育与研究出版社、⑪商务印书馆、⑫清华大学出版社、⑬北京大学出版社、⑭中信出版社出版的最新正版图书发行授权书的得14分，在此基础上每缺一个扣1分，扣完为止。</w:t>
            </w:r>
          </w:p>
          <w:p>
            <w:pPr>
              <w:pStyle w:val="25"/>
              <w:keepNext w:val="0"/>
              <w:keepLines w:val="0"/>
              <w:pageBreakBefore w:val="0"/>
              <w:widowControl w:val="0"/>
              <w:numPr>
                <w:ilvl w:val="-1"/>
                <w:numId w:val="0"/>
              </w:numPr>
              <w:kinsoku/>
              <w:wordWrap w:val="0"/>
              <w:overflowPunct/>
              <w:autoSpaceDE/>
              <w:autoSpaceDN/>
              <w:bidi w:val="0"/>
              <w:adjustRightInd w:val="0"/>
              <w:snapToGrid w:val="0"/>
              <w:spacing w:line="320" w:lineRule="exact"/>
              <w:ind w:left="0" w:leftChars="0" w:right="12" w:rightChars="5" w:firstLine="0" w:firstLineChars="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除上述出版社外，每增加50家(含)出版社加0.5分，最多加</w:t>
            </w:r>
            <w:r>
              <w:rPr>
                <w:rFonts w:hint="eastAsia"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lang w:val="en-US" w:eastAsia="zh-CN"/>
              </w:rPr>
              <w:t>分。本项最多得1</w:t>
            </w:r>
            <w:r>
              <w:rPr>
                <w:rFonts w:hint="eastAsia" w:cs="宋体"/>
                <w:b w:val="0"/>
                <w:bCs w:val="0"/>
                <w:color w:val="auto"/>
                <w:sz w:val="21"/>
                <w:szCs w:val="21"/>
                <w:highlight w:val="none"/>
                <w:u w:val="none"/>
                <w:lang w:val="en-US" w:eastAsia="zh-CN"/>
              </w:rPr>
              <w:t>8</w:t>
            </w:r>
            <w:r>
              <w:rPr>
                <w:rFonts w:hint="eastAsia" w:ascii="宋体" w:hAnsi="宋体" w:eastAsia="宋体" w:cs="宋体"/>
                <w:b w:val="0"/>
                <w:bCs w:val="0"/>
                <w:color w:val="auto"/>
                <w:sz w:val="21"/>
                <w:szCs w:val="21"/>
                <w:highlight w:val="none"/>
                <w:u w:val="none"/>
                <w:lang w:val="en-US" w:eastAsia="zh-CN"/>
              </w:rPr>
              <w:t>分。</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注：提供承诺函及证明材料(</w:t>
            </w:r>
            <w:r>
              <w:rPr>
                <w:rFonts w:hint="eastAsia" w:cs="宋体"/>
                <w:b/>
                <w:bCs/>
                <w:color w:val="auto"/>
                <w:sz w:val="21"/>
                <w:szCs w:val="21"/>
                <w:highlight w:val="none"/>
                <w:u w:val="none"/>
                <w:lang w:val="en-US" w:eastAsia="zh-CN"/>
              </w:rPr>
              <w:t>发行授权书</w:t>
            </w:r>
            <w:r>
              <w:rPr>
                <w:rFonts w:hint="eastAsia" w:ascii="宋体" w:hAnsi="宋体" w:eastAsia="宋体" w:cs="宋体"/>
                <w:b/>
                <w:bCs/>
                <w:color w:val="auto"/>
                <w:sz w:val="21"/>
                <w:szCs w:val="21"/>
                <w:highlight w:val="none"/>
                <w:u w:val="none"/>
                <w:lang w:val="en-US" w:eastAsia="zh-CN"/>
              </w:rPr>
              <w:t>等证明材料)，未提供证明材料不予认定。</w:t>
            </w:r>
          </w:p>
        </w:tc>
        <w:tc>
          <w:tcPr>
            <w:tcW w:w="1314"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w:t>
            </w:r>
          </w:p>
        </w:tc>
        <w:tc>
          <w:tcPr>
            <w:tcW w:w="1235"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履约能力</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w:t>
            </w:r>
          </w:p>
        </w:tc>
        <w:tc>
          <w:tcPr>
            <w:tcW w:w="1092"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23分</w:t>
            </w:r>
          </w:p>
        </w:tc>
        <w:tc>
          <w:tcPr>
            <w:tcW w:w="5816" w:type="dxa"/>
            <w:vAlign w:val="center"/>
          </w:tcPr>
          <w:p>
            <w:pPr>
              <w:pStyle w:val="25"/>
              <w:keepNext w:val="0"/>
              <w:keepLines w:val="0"/>
              <w:pageBreakBefore w:val="0"/>
              <w:widowControl w:val="0"/>
              <w:numPr>
                <w:ilvl w:val="0"/>
                <w:numId w:val="32"/>
              </w:numPr>
              <w:tabs>
                <w:tab w:val="clear" w:pos="312"/>
              </w:tabs>
              <w:kinsoku/>
              <w:wordWrap w:val="0"/>
              <w:overflow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拟投入本项目</w:t>
            </w:r>
            <w:r>
              <w:rPr>
                <w:rFonts w:hint="eastAsia" w:ascii="宋体" w:hAnsi="宋体" w:eastAsia="宋体" w:cs="宋体"/>
                <w:color w:val="auto"/>
                <w:sz w:val="21"/>
                <w:szCs w:val="21"/>
                <w:highlight w:val="none"/>
                <w:lang w:val="en-US" w:eastAsia="zh-CN"/>
              </w:rPr>
              <w:t>团队成员在满足招标文件要求的基础上(5人)，每增加1名具有</w:t>
            </w:r>
            <w:r>
              <w:rPr>
                <w:rFonts w:hint="eastAsia" w:ascii="宋体" w:hAnsi="宋体" w:eastAsia="宋体" w:cs="宋体"/>
                <w:color w:val="auto"/>
                <w:sz w:val="21"/>
                <w:szCs w:val="21"/>
                <w:highlight w:val="none"/>
              </w:rPr>
              <w:t>国家图书馆中文编目培训证书</w:t>
            </w:r>
            <w:r>
              <w:rPr>
                <w:rFonts w:hint="eastAsia" w:ascii="宋体" w:hAnsi="宋体" w:eastAsia="宋体" w:cs="宋体"/>
                <w:color w:val="auto"/>
                <w:sz w:val="21"/>
                <w:szCs w:val="21"/>
                <w:highlight w:val="none"/>
                <w:lang w:eastAsia="zh-CN"/>
              </w:rPr>
              <w:t>或图书发行员资格证书</w:t>
            </w:r>
            <w:r>
              <w:rPr>
                <w:rFonts w:hint="eastAsia" w:ascii="宋体" w:hAnsi="宋体" w:eastAsia="宋体" w:cs="宋体"/>
                <w:color w:val="auto"/>
                <w:sz w:val="21"/>
                <w:szCs w:val="21"/>
                <w:highlight w:val="none"/>
                <w:lang w:val="en-US" w:eastAsia="zh-CN"/>
              </w:rPr>
              <w:t>的加</w:t>
            </w:r>
            <w:r>
              <w:rPr>
                <w:rFonts w:hint="eastAsia" w:ascii="宋体" w:hAnsi="宋体" w:eastAsia="宋体" w:cs="宋体"/>
                <w:color w:val="auto"/>
                <w:sz w:val="21"/>
                <w:szCs w:val="21"/>
                <w:highlight w:val="none"/>
              </w:rPr>
              <w:t>0.5分，最多</w:t>
            </w:r>
            <w:r>
              <w:rPr>
                <w:rFonts w:hint="eastAsia" w:ascii="宋体" w:hAnsi="宋体" w:eastAsia="宋体" w:cs="宋体"/>
                <w:color w:val="auto"/>
                <w:sz w:val="21"/>
                <w:szCs w:val="21"/>
                <w:highlight w:val="none"/>
                <w:lang w:val="en-US" w:eastAsia="zh-CN"/>
              </w:rPr>
              <w:t>加3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lang w:val="en-US" w:eastAsia="zh-CN"/>
              </w:rPr>
              <w:t>注：提供人员相关证书复印件和在职证明材料。</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rPr>
              <w:t>2.</w:t>
            </w:r>
            <w:r>
              <w:rPr>
                <w:rFonts w:hint="eastAsia" w:ascii="宋体" w:hAnsi="宋体" w:eastAsia="宋体" w:cs="宋体"/>
                <w:b w:val="0"/>
                <w:bCs w:val="0"/>
                <w:color w:val="auto"/>
                <w:sz w:val="21"/>
                <w:szCs w:val="21"/>
                <w:highlight w:val="none"/>
                <w:u w:val="none"/>
                <w:lang w:val="en-US" w:eastAsia="zh-CN"/>
              </w:rPr>
              <w:t>投标人提供2019年1月1日(含1日)以来的具有类似项目履约经验的，每提供1个得1分，最多得18分。</w:t>
            </w:r>
          </w:p>
          <w:p>
            <w:pPr>
              <w:pStyle w:val="2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lang w:val="en-US" w:eastAsia="zh-CN"/>
              </w:rPr>
              <w:t>注：提供合同复印件和成交(中标)通知书(</w:t>
            </w:r>
            <w:r>
              <w:rPr>
                <w:rFonts w:hint="eastAsia" w:ascii="宋体" w:hAnsi="宋体" w:eastAsia="宋体" w:cs="宋体"/>
                <w:b/>
                <w:bCs/>
                <w:color w:val="auto"/>
                <w:sz w:val="21"/>
                <w:szCs w:val="21"/>
                <w:highlight w:val="none"/>
                <w:u w:val="none"/>
              </w:rPr>
              <w:t>同一个单位多个项目可重复计分</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eastAsia="zh-CN"/>
              </w:rPr>
              <w:t>。</w:t>
            </w:r>
          </w:p>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3.</w:t>
            </w:r>
            <w:r>
              <w:rPr>
                <w:rFonts w:hint="eastAsia" w:ascii="宋体" w:hAnsi="宋体" w:eastAsia="宋体" w:cs="宋体"/>
                <w:b w:val="0"/>
                <w:bCs w:val="0"/>
                <w:i w:val="0"/>
                <w:iCs w:val="0"/>
                <w:color w:val="auto"/>
                <w:sz w:val="21"/>
                <w:szCs w:val="21"/>
                <w:highlight w:val="none"/>
                <w:lang w:val="en-US" w:eastAsia="zh-CN"/>
              </w:rPr>
              <w:t>投标人具有图书线上</w:t>
            </w:r>
            <w:r>
              <w:rPr>
                <w:rFonts w:hint="eastAsia" w:cs="宋体"/>
                <w:b w:val="0"/>
                <w:bCs w:val="0"/>
                <w:i w:val="0"/>
                <w:iCs w:val="0"/>
                <w:color w:val="auto"/>
                <w:sz w:val="21"/>
                <w:szCs w:val="21"/>
                <w:highlight w:val="none"/>
                <w:lang w:val="en-US" w:eastAsia="zh-CN"/>
              </w:rPr>
              <w:t>采访网站和服务</w:t>
            </w:r>
            <w:r>
              <w:rPr>
                <w:rFonts w:hint="eastAsia" w:ascii="宋体" w:hAnsi="宋体" w:eastAsia="宋体" w:cs="宋体"/>
                <w:b w:val="0"/>
                <w:bCs w:val="0"/>
                <w:i w:val="0"/>
                <w:iCs w:val="0"/>
                <w:color w:val="auto"/>
                <w:sz w:val="21"/>
                <w:szCs w:val="21"/>
                <w:highlight w:val="none"/>
                <w:lang w:val="en-US" w:eastAsia="zh-CN"/>
              </w:rPr>
              <w:t>平台，并能完成</w:t>
            </w:r>
            <w:r>
              <w:rPr>
                <w:rFonts w:hint="eastAsia" w:cs="宋体"/>
                <w:b w:val="0"/>
                <w:bCs w:val="0"/>
                <w:i w:val="0"/>
                <w:iCs w:val="0"/>
                <w:color w:val="auto"/>
                <w:sz w:val="21"/>
                <w:szCs w:val="21"/>
                <w:highlight w:val="none"/>
                <w:lang w:val="en-US" w:eastAsia="zh-CN"/>
              </w:rPr>
              <w:t>图书</w:t>
            </w:r>
            <w:r>
              <w:rPr>
                <w:rFonts w:hint="eastAsia" w:ascii="宋体" w:hAnsi="宋体" w:eastAsia="宋体" w:cs="宋体"/>
                <w:b w:val="0"/>
                <w:bCs w:val="0"/>
                <w:i w:val="0"/>
                <w:iCs w:val="0"/>
                <w:color w:val="auto"/>
                <w:sz w:val="21"/>
                <w:szCs w:val="21"/>
                <w:highlight w:val="none"/>
                <w:lang w:val="en-US" w:eastAsia="zh-CN"/>
              </w:rPr>
              <w:t>目录实时更新的得2分。</w:t>
            </w:r>
          </w:p>
          <w:p>
            <w:pPr>
              <w:pStyle w:val="2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lang w:val="en-US" w:eastAsia="zh-CN"/>
              </w:rPr>
              <w:t>注：提供平台为供应商自有的证明材料及平台最新页面网络截图。</w:t>
            </w:r>
          </w:p>
        </w:tc>
        <w:tc>
          <w:tcPr>
            <w:tcW w:w="1314" w:type="dxa"/>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w:t>
            </w:r>
          </w:p>
          <w:p>
            <w:pPr>
              <w:pStyle w:val="25"/>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50" w:type="dxa"/>
            <w:gridSpan w:val="5"/>
            <w:vAlign w:val="center"/>
          </w:tcPr>
          <w:p>
            <w:pPr>
              <w:pStyle w:val="25"/>
              <w:keepNext w:val="0"/>
              <w:keepLines w:val="0"/>
              <w:pageBreakBefore w:val="0"/>
              <w:widowControl w:val="0"/>
              <w:kinsoku/>
              <w:wordWrap w:val="0"/>
              <w:overflowPunct/>
              <w:autoSpaceDE/>
              <w:autoSpaceDN/>
              <w:bidi w:val="0"/>
              <w:adjustRightInd w:val="0"/>
              <w:snapToGrid w:val="0"/>
              <w:spacing w:line="320" w:lineRule="exact"/>
              <w:ind w:left="28" w:leftChars="0" w:right="12" w:rightChars="5"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1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rPr>
              <w:t>评分的取值按四舍五入法，小数点后</w:t>
            </w:r>
            <w:r>
              <w:rPr>
                <w:rFonts w:hint="eastAsia" w:ascii="宋体" w:hAnsi="宋体" w:eastAsia="宋体" w:cs="宋体"/>
                <w:color w:val="auto"/>
                <w:sz w:val="21"/>
                <w:szCs w:val="21"/>
                <w:highlight w:val="none"/>
                <w:lang w:val="en-US" w:eastAsia="zh-CN"/>
              </w:rPr>
              <w:t>保留</w:t>
            </w:r>
            <w:r>
              <w:rPr>
                <w:rFonts w:hint="eastAsia" w:ascii="宋体" w:hAnsi="宋体" w:eastAsia="宋体" w:cs="宋体"/>
                <w:color w:val="auto"/>
                <w:sz w:val="21"/>
                <w:szCs w:val="21"/>
                <w:highlight w:val="none"/>
              </w:rPr>
              <w:t>两位。</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本表中要求提供</w:t>
            </w:r>
            <w:r>
              <w:rPr>
                <w:rFonts w:hint="eastAsia" w:ascii="宋体" w:hAnsi="宋体" w:eastAsia="宋体" w:cs="宋体"/>
                <w:color w:val="auto"/>
                <w:sz w:val="21"/>
                <w:szCs w:val="21"/>
                <w:highlight w:val="none"/>
                <w:lang w:val="en-US" w:eastAsia="zh-CN"/>
              </w:rPr>
              <w:t>各类证明</w:t>
            </w:r>
            <w:r>
              <w:rPr>
                <w:rFonts w:hint="eastAsia" w:ascii="宋体" w:hAnsi="宋体" w:eastAsia="宋体" w:cs="宋体"/>
                <w:color w:val="auto"/>
                <w:sz w:val="21"/>
                <w:szCs w:val="21"/>
                <w:highlight w:val="none"/>
              </w:rPr>
              <w:t>材料，均需加盖供应商单位公章，否则将不认可该项材料的有效性。③</w:t>
            </w:r>
            <w:r>
              <w:rPr>
                <w:rFonts w:hint="eastAsia" w:ascii="宋体" w:hAnsi="宋体" w:eastAsia="宋体" w:cs="宋体"/>
                <w:color w:val="auto"/>
                <w:sz w:val="21"/>
                <w:szCs w:val="21"/>
                <w:highlight w:val="none"/>
                <w:lang w:val="en-US" w:eastAsia="zh-CN"/>
              </w:rPr>
              <w:t>本项目不涉及节能产品、环境标志产品、无线局域网产品，故不在</w:t>
            </w:r>
            <w:r>
              <w:rPr>
                <w:rFonts w:hint="eastAsia" w:cs="宋体"/>
                <w:color w:val="auto"/>
                <w:sz w:val="21"/>
                <w:szCs w:val="21"/>
                <w:highlight w:val="none"/>
                <w:lang w:val="en-US" w:eastAsia="zh-CN"/>
              </w:rPr>
              <w:t>评分明细表</w:t>
            </w:r>
            <w:r>
              <w:rPr>
                <w:rFonts w:hint="eastAsia" w:ascii="宋体" w:hAnsi="宋体" w:eastAsia="宋体" w:cs="宋体"/>
                <w:color w:val="auto"/>
                <w:sz w:val="21"/>
                <w:szCs w:val="21"/>
                <w:highlight w:val="none"/>
                <w:lang w:val="en-US" w:eastAsia="zh-CN"/>
              </w:rPr>
              <w:t>体现。</w:t>
            </w:r>
          </w:p>
        </w:tc>
      </w:tr>
    </w:tbl>
    <w:p>
      <w:pPr>
        <w:pStyle w:val="26"/>
        <w:numPr>
          <w:ilvl w:val="1"/>
          <w:numId w:val="11"/>
        </w:numPr>
        <w:tabs>
          <w:tab w:val="left" w:pos="3603"/>
        </w:tabs>
        <w:bidi w:val="0"/>
        <w:rPr>
          <w:rFonts w:hint="eastAsia" w:ascii="宋体" w:hAnsi="宋体" w:eastAsia="宋体" w:cs="宋体"/>
          <w:color w:val="auto"/>
          <w:highlight w:val="none"/>
          <w:lang w:val="en-US" w:eastAsia="zh-CN"/>
        </w:rPr>
      </w:pPr>
      <w:bookmarkStart w:id="1121" w:name="_Toc4051"/>
      <w:r>
        <w:rPr>
          <w:rFonts w:hint="eastAsia" w:ascii="宋体" w:hAnsi="宋体" w:eastAsia="宋体" w:cs="宋体"/>
          <w:color w:val="auto"/>
          <w:highlight w:val="none"/>
          <w:lang w:val="en-US" w:eastAsia="zh-CN"/>
        </w:rPr>
        <w:t>复核</w:t>
      </w:r>
      <w:bookmarkEnd w:id="1116"/>
      <w:bookmarkEnd w:id="1121"/>
      <w:r>
        <w:rPr>
          <w:rFonts w:hint="eastAsia" w:ascii="宋体" w:hAnsi="宋体" w:eastAsia="宋体" w:cs="宋体"/>
          <w:color w:val="auto"/>
          <w:highlight w:val="none"/>
          <w:lang w:val="en-US" w:eastAsia="zh-CN"/>
        </w:rPr>
        <w:tab/>
      </w:r>
    </w:p>
    <w:p>
      <w:pPr>
        <w:pStyle w:val="37"/>
        <w:numPr>
          <w:ilvl w:val="1"/>
          <w:numId w:val="33"/>
        </w:num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评标委员会复核</w:t>
      </w:r>
    </w:p>
    <w:p>
      <w:pPr>
        <w:pStyle w:val="25"/>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评分汇总结束后，评标委员会应当进行复核，特别要对拟推荐为中标候选供应商的、报价最低的、投标文件被认定为无效的进行重点复核。</w:t>
      </w:r>
    </w:p>
    <w:p>
      <w:pPr>
        <w:pStyle w:val="37"/>
        <w:numPr>
          <w:ilvl w:val="1"/>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采购代理机构现场复核评审结果</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评审结果汇总完成后，评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委员会拟出具</w:t>
      </w:r>
      <w:r>
        <w:rPr>
          <w:rFonts w:hint="eastAsia" w:ascii="宋体" w:hAnsi="宋体" w:eastAsia="宋体" w:cs="宋体"/>
          <w:color w:val="auto"/>
          <w:highlight w:val="none"/>
          <w:lang w:eastAsia="zh-CN"/>
        </w:rPr>
        <w:t>评标报告</w:t>
      </w:r>
      <w:r>
        <w:rPr>
          <w:rFonts w:hint="eastAsia" w:ascii="宋体" w:hAnsi="宋体" w:eastAsia="宋体" w:cs="宋体"/>
          <w:color w:val="auto"/>
          <w:highlight w:val="none"/>
        </w:rPr>
        <w:t>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分值汇总计算错误的；</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分项评分超出评分标准范围的；</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评标委员会成员对客观评审因素评分不一致的；</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经评标委员会认定评分畸高、畸低的。</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采购代理机构认为评标委员会评标结果不合法的，应当书面报告采购项目同级财政部门依法处理。</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采购代理机构复核过程中，评标委员会不得离开评标现场。</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有下列情形之一的，不得修改评标结果或者重新评标：</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评标委员会已经出具评标报告并且离开评标现场的；</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采购代理机构现场复核时，复核工作人员数量不足的；</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采购代理机构现场复核时，没有采购监督人员现场监督的；</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采购代理机构现场复核内容超出规定范围的；</w:t>
      </w:r>
    </w:p>
    <w:p>
      <w:pPr>
        <w:pStyle w:val="40"/>
        <w:numPr>
          <w:ilvl w:val="3"/>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采购代理机构未提供书面建议的。</w:t>
      </w:r>
    </w:p>
    <w:p>
      <w:pPr>
        <w:pStyle w:val="26"/>
        <w:numPr>
          <w:ilvl w:val="1"/>
          <w:numId w:val="11"/>
        </w:numPr>
        <w:bidi w:val="0"/>
        <w:rPr>
          <w:rFonts w:hint="eastAsia" w:ascii="宋体" w:hAnsi="宋体" w:eastAsia="宋体" w:cs="宋体"/>
          <w:color w:val="auto"/>
          <w:highlight w:val="none"/>
          <w:lang w:val="en-US" w:eastAsia="zh-CN"/>
        </w:rPr>
      </w:pPr>
      <w:bookmarkStart w:id="1122" w:name="_Toc31256"/>
      <w:bookmarkStart w:id="1123" w:name="_Toc28961"/>
      <w:r>
        <w:rPr>
          <w:rFonts w:hint="eastAsia" w:ascii="宋体" w:hAnsi="宋体" w:eastAsia="宋体" w:cs="宋体"/>
          <w:color w:val="auto"/>
          <w:highlight w:val="none"/>
          <w:lang w:val="en-US" w:eastAsia="zh-CN"/>
        </w:rPr>
        <w:t>推荐中标候选供应商</w:t>
      </w:r>
      <w:bookmarkEnd w:id="1122"/>
      <w:bookmarkEnd w:id="1123"/>
    </w:p>
    <w:p>
      <w:pPr>
        <w:pStyle w:val="29"/>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中标候选供应商数量应当根据招标文件的规定确定，但必须按顺序排列中标候选供应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不予认可。</w:t>
      </w:r>
    </w:p>
    <w:p>
      <w:pPr>
        <w:pStyle w:val="26"/>
        <w:numPr>
          <w:ilvl w:val="1"/>
          <w:numId w:val="11"/>
        </w:numPr>
        <w:bidi w:val="0"/>
        <w:rPr>
          <w:rFonts w:hint="eastAsia" w:ascii="宋体" w:hAnsi="宋体" w:eastAsia="宋体" w:cs="宋体"/>
          <w:color w:val="auto"/>
          <w:highlight w:val="none"/>
          <w:lang w:val="en-US" w:eastAsia="zh-CN"/>
        </w:rPr>
      </w:pPr>
      <w:bookmarkStart w:id="1124" w:name="_Toc17497"/>
      <w:bookmarkStart w:id="1125" w:name="_Toc7685"/>
      <w:r>
        <w:rPr>
          <w:rFonts w:hint="eastAsia" w:ascii="宋体" w:hAnsi="宋体" w:eastAsia="宋体" w:cs="宋体"/>
          <w:color w:val="auto"/>
          <w:highlight w:val="none"/>
          <w:lang w:val="en-US" w:eastAsia="zh-CN"/>
        </w:rPr>
        <w:t>出具评标报告</w:t>
      </w:r>
      <w:bookmarkEnd w:id="1124"/>
      <w:bookmarkEnd w:id="1125"/>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评标委员会推荐中标候选供应商后，应当向招标采购单位出具评标报告。评标报告应当包括下列内容：</w:t>
      </w:r>
    </w:p>
    <w:p>
      <w:pPr>
        <w:pStyle w:val="37"/>
        <w:numPr>
          <w:ilvl w:val="1"/>
          <w:numId w:val="34"/>
        </w:numPr>
        <w:bidi w:val="0"/>
        <w:rPr>
          <w:rFonts w:hint="eastAsia" w:ascii="宋体" w:hAnsi="宋体" w:eastAsia="宋体" w:cs="宋体"/>
          <w:color w:val="auto"/>
          <w:highlight w:val="none"/>
        </w:rPr>
      </w:pPr>
      <w:r>
        <w:rPr>
          <w:rFonts w:hint="eastAsia" w:ascii="宋体" w:hAnsi="宋体" w:eastAsia="宋体" w:cs="宋体"/>
          <w:color w:val="auto"/>
          <w:highlight w:val="none"/>
        </w:rPr>
        <w:t>招标公告刊登的媒体名称、开标日期和地点；</w:t>
      </w:r>
    </w:p>
    <w:p>
      <w:pPr>
        <w:pStyle w:val="37"/>
        <w:numPr>
          <w:ilvl w:val="1"/>
          <w:numId w:val="34"/>
        </w:numPr>
        <w:bidi w:val="0"/>
        <w:rPr>
          <w:rFonts w:hint="eastAsia" w:ascii="宋体" w:hAnsi="宋体" w:eastAsia="宋体" w:cs="宋体"/>
          <w:color w:val="auto"/>
          <w:highlight w:val="none"/>
        </w:rPr>
      </w:pPr>
      <w:r>
        <w:rPr>
          <w:rFonts w:hint="eastAsia" w:ascii="宋体" w:hAnsi="宋体" w:eastAsia="宋体" w:cs="宋体"/>
          <w:color w:val="auto"/>
          <w:highlight w:val="none"/>
        </w:rPr>
        <w:t>投标人名单和评标委员会成员名单；</w:t>
      </w:r>
    </w:p>
    <w:p>
      <w:pPr>
        <w:pStyle w:val="37"/>
        <w:numPr>
          <w:ilvl w:val="1"/>
          <w:numId w:val="34"/>
        </w:numPr>
        <w:bidi w:val="0"/>
        <w:rPr>
          <w:rFonts w:hint="eastAsia" w:ascii="宋体" w:hAnsi="宋体" w:eastAsia="宋体" w:cs="宋体"/>
          <w:color w:val="auto"/>
          <w:highlight w:val="none"/>
        </w:rPr>
      </w:pPr>
      <w:r>
        <w:rPr>
          <w:rFonts w:hint="eastAsia" w:ascii="宋体" w:hAnsi="宋体" w:eastAsia="宋体" w:cs="宋体"/>
          <w:color w:val="auto"/>
          <w:highlight w:val="none"/>
        </w:rPr>
        <w:t>评标方法和标准；</w:t>
      </w:r>
    </w:p>
    <w:p>
      <w:pPr>
        <w:pStyle w:val="37"/>
        <w:numPr>
          <w:ilvl w:val="1"/>
          <w:numId w:val="34"/>
        </w:numPr>
        <w:bidi w:val="0"/>
        <w:rPr>
          <w:rFonts w:hint="eastAsia" w:ascii="宋体" w:hAnsi="宋体" w:eastAsia="宋体" w:cs="宋体"/>
          <w:color w:val="auto"/>
          <w:highlight w:val="none"/>
        </w:rPr>
      </w:pPr>
      <w:r>
        <w:rPr>
          <w:rFonts w:hint="eastAsia" w:ascii="宋体" w:hAnsi="宋体" w:eastAsia="宋体" w:cs="宋体"/>
          <w:color w:val="auto"/>
          <w:highlight w:val="none"/>
        </w:rPr>
        <w:t>开标记录和评标情况及说明，包括无效投标人名单及原因；</w:t>
      </w:r>
    </w:p>
    <w:p>
      <w:pPr>
        <w:pStyle w:val="37"/>
        <w:numPr>
          <w:ilvl w:val="1"/>
          <w:numId w:val="34"/>
        </w:numPr>
        <w:bidi w:val="0"/>
        <w:rPr>
          <w:rFonts w:hint="eastAsia" w:ascii="宋体" w:hAnsi="宋体" w:eastAsia="宋体" w:cs="宋体"/>
          <w:color w:val="auto"/>
          <w:highlight w:val="none"/>
        </w:rPr>
      </w:pPr>
      <w:r>
        <w:rPr>
          <w:rFonts w:hint="eastAsia" w:ascii="宋体" w:hAnsi="宋体" w:eastAsia="宋体" w:cs="宋体"/>
          <w:color w:val="auto"/>
          <w:highlight w:val="none"/>
        </w:rPr>
        <w:t>评标结果，确定的中标候选人名单或者经采购人委托直接确定的中标人；</w:t>
      </w:r>
    </w:p>
    <w:p>
      <w:pPr>
        <w:pStyle w:val="37"/>
        <w:numPr>
          <w:ilvl w:val="1"/>
          <w:numId w:val="34"/>
        </w:num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其他需要说明的情况，包括评标过程中投标人根据评标委员会要求进行的澄清、说明或者补正，评标委员会成员的更换等。</w:t>
      </w:r>
    </w:p>
    <w:p>
      <w:pPr>
        <w:pStyle w:val="4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26"/>
        <w:numPr>
          <w:ilvl w:val="1"/>
          <w:numId w:val="11"/>
        </w:numPr>
        <w:bidi w:val="0"/>
        <w:rPr>
          <w:rFonts w:hint="eastAsia" w:ascii="宋体" w:hAnsi="宋体" w:eastAsia="宋体" w:cs="宋体"/>
          <w:color w:val="auto"/>
          <w:highlight w:val="none"/>
        </w:rPr>
      </w:pPr>
      <w:bookmarkStart w:id="1126" w:name="_Toc25977"/>
      <w:bookmarkStart w:id="1127" w:name="_Toc17073"/>
      <w:r>
        <w:rPr>
          <w:rFonts w:hint="eastAsia" w:ascii="宋体" w:hAnsi="宋体" w:eastAsia="宋体" w:cs="宋体"/>
          <w:color w:val="auto"/>
          <w:highlight w:val="none"/>
        </w:rPr>
        <w:t>废标</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117"/>
      <w:bookmarkEnd w:id="1118"/>
      <w:bookmarkEnd w:id="1119"/>
      <w:bookmarkEnd w:id="1120"/>
      <w:bookmarkEnd w:id="1126"/>
      <w:bookmarkEnd w:id="1127"/>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本次政府采购活动中，出现下列情形之一的，予以废标：</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符合专业条件的供应商或者对招标文件作实质响应的供应商不足三家的；</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出现影响采购公正的违法、违规行为的；</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投标人的报价均超过了采购预算</w:t>
      </w:r>
      <w:r>
        <w:rPr>
          <w:rFonts w:hint="eastAsia" w:ascii="宋体" w:hAnsi="宋体" w:eastAsia="宋体" w:cs="宋体"/>
          <w:color w:val="auto"/>
          <w:highlight w:val="none"/>
          <w:lang w:val="en-US" w:eastAsia="zh-CN"/>
        </w:rPr>
        <w:t>或最高限价</w:t>
      </w:r>
      <w:r>
        <w:rPr>
          <w:rFonts w:hint="eastAsia" w:ascii="宋体" w:hAnsi="宋体" w:eastAsia="宋体" w:cs="宋体"/>
          <w:color w:val="auto"/>
          <w:highlight w:val="none"/>
        </w:rPr>
        <w:t>，采购人不能支付的；</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因重大变故，采购任务取消的。</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废标后，采购代理机构应在</w:t>
      </w:r>
      <w:r>
        <w:rPr>
          <w:rFonts w:hint="eastAsia" w:ascii="宋体" w:hAnsi="宋体" w:eastAsia="宋体" w:cs="宋体"/>
          <w:color w:val="auto"/>
          <w:highlight w:val="none"/>
          <w:lang w:eastAsia="zh-CN"/>
        </w:rPr>
        <w:t>“四川政府采购网”</w:t>
      </w:r>
      <w:r>
        <w:rPr>
          <w:rFonts w:hint="eastAsia" w:ascii="宋体" w:hAnsi="宋体" w:eastAsia="宋体" w:cs="宋体"/>
          <w:color w:val="auto"/>
          <w:highlight w:val="none"/>
        </w:rPr>
        <w:t>公告，并公告废标的理由。对于废标的采购项目，评标委员会应当对招标文件是否存在倾向性和歧视性、是否存在不合理条款进行论证，并出具书面论证意见。</w:t>
      </w:r>
    </w:p>
    <w:p>
      <w:pPr>
        <w:pStyle w:val="26"/>
        <w:numPr>
          <w:ilvl w:val="1"/>
          <w:numId w:val="11"/>
        </w:numPr>
        <w:bidi w:val="0"/>
        <w:rPr>
          <w:rFonts w:hint="eastAsia" w:ascii="宋体" w:hAnsi="宋体" w:eastAsia="宋体" w:cs="宋体"/>
          <w:color w:val="auto"/>
          <w:highlight w:val="none"/>
        </w:rPr>
      </w:pPr>
      <w:bookmarkStart w:id="1128" w:name="_Toc31281"/>
      <w:bookmarkStart w:id="1129" w:name="_Toc308188202"/>
      <w:bookmarkStart w:id="1130" w:name="_Toc308084649"/>
      <w:bookmarkStart w:id="1131" w:name="_Toc25875"/>
      <w:bookmarkStart w:id="1132" w:name="_Toc327196344"/>
      <w:bookmarkStart w:id="1133" w:name="_Toc768"/>
      <w:bookmarkStart w:id="1134" w:name="_Toc309897567"/>
      <w:bookmarkStart w:id="1135" w:name="_Toc21352"/>
      <w:bookmarkStart w:id="1136" w:name="_Toc13169"/>
      <w:bookmarkStart w:id="1137" w:name="_Toc307501158"/>
      <w:bookmarkStart w:id="1138" w:name="_Toc4794"/>
      <w:bookmarkStart w:id="1139" w:name="_Toc319440193"/>
      <w:bookmarkStart w:id="1140" w:name="_Toc307564900"/>
      <w:bookmarkStart w:id="1141" w:name="_Toc24655"/>
      <w:bookmarkStart w:id="1142" w:name="_Toc10846"/>
      <w:bookmarkStart w:id="1143" w:name="_Toc7121"/>
      <w:bookmarkStart w:id="1144" w:name="_Toc4475"/>
      <w:bookmarkStart w:id="1145" w:name="_Toc28975"/>
      <w:bookmarkStart w:id="1146" w:name="_Toc2453"/>
      <w:bookmarkStart w:id="1147" w:name="_Toc319439949"/>
      <w:r>
        <w:rPr>
          <w:rFonts w:hint="eastAsia" w:ascii="宋体" w:hAnsi="宋体" w:eastAsia="宋体" w:cs="宋体"/>
          <w:color w:val="auto"/>
          <w:highlight w:val="none"/>
        </w:rPr>
        <w:t>定标</w:t>
      </w:r>
      <w:bookmarkEnd w:id="1001"/>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Start w:id="1148" w:name="_Toc217446061"/>
    </w:p>
    <w:p>
      <w:pPr>
        <w:pStyle w:val="37"/>
        <w:numPr>
          <w:ilvl w:val="1"/>
          <w:numId w:val="35"/>
        </w:numPr>
        <w:bidi w:val="0"/>
        <w:rPr>
          <w:rFonts w:hint="eastAsia" w:ascii="宋体" w:hAnsi="宋体" w:eastAsia="宋体" w:cs="宋体"/>
          <w:color w:val="auto"/>
          <w:highlight w:val="none"/>
        </w:rPr>
      </w:pPr>
      <w:r>
        <w:rPr>
          <w:rFonts w:hint="eastAsia" w:ascii="宋体" w:hAnsi="宋体" w:eastAsia="宋体" w:cs="宋体"/>
          <w:color w:val="auto"/>
          <w:highlight w:val="none"/>
        </w:rPr>
        <w:t>定标原则</w:t>
      </w:r>
      <w:bookmarkEnd w:id="1148"/>
      <w:r>
        <w:rPr>
          <w:rFonts w:hint="eastAsia" w:ascii="宋体" w:hAnsi="宋体" w:eastAsia="宋体" w:cs="宋体"/>
          <w:color w:val="auto"/>
          <w:highlight w:val="none"/>
        </w:rPr>
        <w:t>：本项目根据评委会推荐的中标候选人名单，按顺序确定中标人。</w:t>
      </w:r>
    </w:p>
    <w:p>
      <w:pPr>
        <w:pStyle w:val="37"/>
        <w:numPr>
          <w:ilvl w:val="1"/>
          <w:numId w:val="35"/>
        </w:numPr>
        <w:bidi w:val="0"/>
        <w:rPr>
          <w:rFonts w:hint="eastAsia" w:ascii="宋体" w:hAnsi="宋体" w:eastAsia="宋体" w:cs="宋体"/>
          <w:color w:val="auto"/>
          <w:highlight w:val="none"/>
        </w:rPr>
      </w:pPr>
      <w:bookmarkStart w:id="1149" w:name="_Toc217446062"/>
      <w:r>
        <w:rPr>
          <w:rFonts w:hint="eastAsia" w:ascii="宋体" w:hAnsi="宋体" w:eastAsia="宋体" w:cs="宋体"/>
          <w:color w:val="auto"/>
          <w:highlight w:val="none"/>
        </w:rPr>
        <w:t>定标程序</w:t>
      </w:r>
      <w:bookmarkEnd w:id="1149"/>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评标委员会根据全体评标成员签字的原始评标记录和评标结果编写评标报告</w:t>
      </w:r>
      <w:r>
        <w:rPr>
          <w:rFonts w:hint="eastAsia" w:ascii="宋体" w:hAnsi="宋体" w:eastAsia="宋体" w:cs="宋体"/>
          <w:color w:val="auto"/>
          <w:highlight w:val="none"/>
        </w:rPr>
        <w:t>，推荐</w:t>
      </w:r>
      <w:r>
        <w:rPr>
          <w:rFonts w:hint="eastAsia" w:ascii="宋体" w:hAnsi="宋体" w:eastAsia="宋体" w:cs="宋体"/>
          <w:color w:val="auto"/>
          <w:highlight w:val="none"/>
          <w:lang w:val="en-US" w:eastAsia="zh-CN"/>
        </w:rPr>
        <w:t>不少于三名</w:t>
      </w:r>
      <w:r>
        <w:rPr>
          <w:rFonts w:hint="eastAsia" w:ascii="宋体" w:hAnsi="宋体" w:eastAsia="宋体" w:cs="宋体"/>
          <w:color w:val="auto"/>
          <w:highlight w:val="none"/>
        </w:rPr>
        <w:t>中标候选人，并按照综合得分高低标明排列顺序。</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采购代理机构在评标结束后2个工作日内将评标报告送采购人。</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w:t>
      </w:r>
      <w:r>
        <w:rPr>
          <w:rFonts w:hint="eastAsia" w:ascii="宋体" w:hAnsi="宋体" w:eastAsia="宋体" w:cs="宋体"/>
          <w:color w:val="auto"/>
          <w:highlight w:val="none"/>
        </w:rPr>
        <w:t>购人在收到评标报告5个工作日内未按评标报告推荐的中标候选人顺序确定中标人，又不能说明合法理由的，视同按评标报告推荐的顺序确定排名第一的中标候选人为中标人。</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采购代理机构在</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确定后2个工作日内，在</w:t>
      </w:r>
      <w:r>
        <w:rPr>
          <w:rFonts w:hint="eastAsia" w:ascii="宋体" w:hAnsi="宋体" w:eastAsia="宋体" w:cs="宋体"/>
          <w:color w:val="auto"/>
          <w:highlight w:val="none"/>
          <w:lang w:eastAsia="zh-CN"/>
        </w:rPr>
        <w:t>“四川政府采购网”</w:t>
      </w:r>
      <w:r>
        <w:rPr>
          <w:rFonts w:hint="eastAsia" w:ascii="宋体" w:hAnsi="宋体" w:eastAsia="宋体" w:cs="宋体"/>
          <w:color w:val="auto"/>
          <w:highlight w:val="none"/>
        </w:rPr>
        <w:t>发布中标公告，同时</w:t>
      </w:r>
      <w:r>
        <w:rPr>
          <w:rFonts w:hint="eastAsia" w:ascii="宋体" w:hAnsi="宋体" w:eastAsia="宋体" w:cs="宋体"/>
          <w:color w:val="auto"/>
          <w:highlight w:val="none"/>
          <w:lang w:val="en-US" w:eastAsia="zh-CN"/>
        </w:rPr>
        <w:t>采购代理机构将</w:t>
      </w:r>
      <w:r>
        <w:rPr>
          <w:rFonts w:hint="eastAsia" w:ascii="宋体" w:hAnsi="宋体" w:eastAsia="宋体" w:cs="宋体"/>
          <w:color w:val="auto"/>
          <w:highlight w:val="none"/>
        </w:rPr>
        <w:t>中标通知书</w:t>
      </w:r>
      <w:r>
        <w:rPr>
          <w:rFonts w:hint="eastAsia" w:ascii="宋体" w:hAnsi="宋体" w:eastAsia="宋体" w:cs="宋体"/>
          <w:color w:val="auto"/>
          <w:highlight w:val="none"/>
          <w:lang w:val="en-US" w:eastAsia="zh-CN"/>
        </w:rPr>
        <w:t>快递至中标人</w:t>
      </w:r>
      <w:r>
        <w:rPr>
          <w:rFonts w:hint="eastAsia" w:ascii="宋体" w:hAnsi="宋体" w:eastAsia="宋体" w:cs="宋体"/>
          <w:color w:val="auto"/>
          <w:highlight w:val="none"/>
        </w:rPr>
        <w:t>。</w:t>
      </w:r>
    </w:p>
    <w:p>
      <w:pPr>
        <w:pStyle w:val="39"/>
        <w:numPr>
          <w:ilvl w:val="2"/>
          <w:numId w:val="29"/>
        </w:numPr>
        <w:bidi w:val="0"/>
        <w:rPr>
          <w:rFonts w:hint="eastAsia" w:ascii="宋体" w:hAnsi="宋体" w:eastAsia="宋体" w:cs="宋体"/>
          <w:color w:val="auto"/>
          <w:highlight w:val="none"/>
        </w:rPr>
      </w:pPr>
      <w:r>
        <w:rPr>
          <w:rFonts w:hint="eastAsia" w:ascii="宋体" w:hAnsi="宋体" w:eastAsia="宋体" w:cs="宋体"/>
          <w:color w:val="auto"/>
          <w:highlight w:val="none"/>
        </w:rPr>
        <w:t>招标采购单位不退回投标人投标文件和其他投标资料。</w:t>
      </w:r>
    </w:p>
    <w:bookmarkEnd w:id="1002"/>
    <w:p>
      <w:pPr>
        <w:pStyle w:val="26"/>
        <w:numPr>
          <w:ilvl w:val="1"/>
          <w:numId w:val="11"/>
        </w:numPr>
        <w:bidi w:val="0"/>
        <w:rPr>
          <w:rFonts w:hint="eastAsia" w:ascii="宋体" w:hAnsi="宋体" w:eastAsia="宋体" w:cs="宋体"/>
          <w:color w:val="auto"/>
          <w:highlight w:val="none"/>
        </w:rPr>
      </w:pPr>
      <w:bookmarkStart w:id="1150" w:name="_Toc307564901"/>
      <w:bookmarkStart w:id="1151" w:name="_Toc25084"/>
      <w:bookmarkStart w:id="1152" w:name="_Toc10903"/>
      <w:bookmarkStart w:id="1153" w:name="_Toc307501159"/>
      <w:bookmarkStart w:id="1154" w:name="_Toc308188203"/>
      <w:bookmarkStart w:id="1155" w:name="_Toc8099"/>
      <w:bookmarkStart w:id="1156" w:name="_Toc16879"/>
      <w:bookmarkStart w:id="1157" w:name="_Toc327196345"/>
      <w:bookmarkStart w:id="1158" w:name="_Toc27662"/>
      <w:bookmarkStart w:id="1159" w:name="_Toc27423"/>
      <w:bookmarkStart w:id="1160" w:name="_Toc319439950"/>
      <w:bookmarkStart w:id="1161" w:name="_Toc308084650"/>
      <w:bookmarkStart w:id="1162" w:name="_Toc22537"/>
      <w:bookmarkStart w:id="1163" w:name="_Toc15982"/>
      <w:bookmarkStart w:id="1164" w:name="_Toc32114"/>
      <w:bookmarkStart w:id="1165" w:name="_Toc639"/>
      <w:bookmarkStart w:id="1166" w:name="_Toc319440194"/>
      <w:bookmarkStart w:id="1167" w:name="_Toc309897568"/>
      <w:bookmarkStart w:id="1168" w:name="_Toc25198"/>
      <w:bookmarkStart w:id="1169" w:name="_Toc14102"/>
      <w:r>
        <w:rPr>
          <w:rFonts w:hint="eastAsia" w:ascii="宋体" w:hAnsi="宋体" w:eastAsia="宋体" w:cs="宋体"/>
          <w:color w:val="auto"/>
          <w:highlight w:val="none"/>
          <w:lang w:eastAsia="zh-CN"/>
        </w:rPr>
        <w:t>评标专家</w:t>
      </w:r>
      <w:r>
        <w:rPr>
          <w:rFonts w:hint="eastAsia" w:ascii="宋体" w:hAnsi="宋体" w:eastAsia="宋体" w:cs="宋体"/>
          <w:color w:val="auto"/>
          <w:highlight w:val="none"/>
        </w:rPr>
        <w:t>在政府采购活动中承担以下义务</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pPr>
        <w:pStyle w:val="37"/>
        <w:numPr>
          <w:ilvl w:val="1"/>
          <w:numId w:val="36"/>
        </w:numPr>
        <w:bidi w:val="0"/>
        <w:rPr>
          <w:rFonts w:hint="eastAsia" w:ascii="宋体" w:hAnsi="宋体" w:eastAsia="宋体" w:cs="宋体"/>
          <w:color w:val="auto"/>
          <w:highlight w:val="none"/>
        </w:rPr>
      </w:pPr>
      <w:r>
        <w:rPr>
          <w:rFonts w:hint="eastAsia" w:ascii="宋体" w:hAnsi="宋体" w:eastAsia="宋体" w:cs="宋体"/>
          <w:color w:val="auto"/>
          <w:highlight w:val="none"/>
        </w:rPr>
        <w:t>遵守评标工作纪律；</w:t>
      </w:r>
    </w:p>
    <w:p>
      <w:pPr>
        <w:pStyle w:val="37"/>
        <w:numPr>
          <w:ilvl w:val="1"/>
          <w:numId w:val="36"/>
        </w:numPr>
        <w:bidi w:val="0"/>
        <w:rPr>
          <w:rFonts w:hint="eastAsia" w:ascii="宋体" w:hAnsi="宋体" w:eastAsia="宋体" w:cs="宋体"/>
          <w:color w:val="auto"/>
          <w:highlight w:val="none"/>
        </w:rPr>
      </w:pPr>
      <w:r>
        <w:rPr>
          <w:rFonts w:hint="eastAsia" w:ascii="宋体" w:hAnsi="宋体" w:eastAsia="宋体" w:cs="宋体"/>
          <w:color w:val="auto"/>
          <w:highlight w:val="none"/>
        </w:rPr>
        <w:t>按照客观、公正、审慎的原则，根据招标文件规定的评标程序、评标方法和评标标准进行独立评标；</w:t>
      </w:r>
    </w:p>
    <w:p>
      <w:pPr>
        <w:pStyle w:val="37"/>
        <w:numPr>
          <w:ilvl w:val="1"/>
          <w:numId w:val="36"/>
        </w:numPr>
        <w:bidi w:val="0"/>
        <w:rPr>
          <w:rFonts w:hint="eastAsia" w:ascii="宋体" w:hAnsi="宋体" w:eastAsia="宋体" w:cs="宋体"/>
          <w:color w:val="auto"/>
          <w:highlight w:val="none"/>
        </w:rPr>
      </w:pPr>
      <w:r>
        <w:rPr>
          <w:rFonts w:hint="eastAsia" w:ascii="宋体" w:hAnsi="宋体" w:eastAsia="宋体" w:cs="宋体"/>
          <w:color w:val="auto"/>
          <w:highlight w:val="none"/>
        </w:rPr>
        <w:t>不得泄露评标文件、评标情况和在评标过程中获悉的商业秘密；</w:t>
      </w:r>
    </w:p>
    <w:p>
      <w:pPr>
        <w:pStyle w:val="37"/>
        <w:numPr>
          <w:ilvl w:val="1"/>
          <w:numId w:val="36"/>
        </w:numPr>
        <w:bidi w:val="0"/>
        <w:rPr>
          <w:rFonts w:hint="eastAsia" w:ascii="宋体" w:hAnsi="宋体" w:eastAsia="宋体" w:cs="宋体"/>
          <w:color w:val="auto"/>
          <w:highlight w:val="none"/>
        </w:rPr>
      </w:pPr>
      <w:r>
        <w:rPr>
          <w:rFonts w:hint="eastAsia" w:ascii="宋体" w:hAnsi="宋体" w:eastAsia="宋体" w:cs="宋体"/>
          <w:color w:val="auto"/>
          <w:highlight w:val="none"/>
        </w:rPr>
        <w:t>及时向财政部门报告评标过程中发现的采购人、采购代理机构向评标专家做倾向性、误导性的解释或者说明，以及供应商行贿、提供虚假材料或者串通等违法行为；</w:t>
      </w:r>
    </w:p>
    <w:p>
      <w:pPr>
        <w:pStyle w:val="37"/>
        <w:numPr>
          <w:ilvl w:val="1"/>
          <w:numId w:val="36"/>
        </w:numPr>
        <w:bidi w:val="0"/>
        <w:rPr>
          <w:rFonts w:hint="eastAsia" w:ascii="宋体" w:hAnsi="宋体" w:eastAsia="宋体" w:cs="宋体"/>
          <w:color w:val="auto"/>
          <w:highlight w:val="none"/>
        </w:rPr>
      </w:pPr>
      <w:r>
        <w:rPr>
          <w:rFonts w:hint="eastAsia" w:ascii="宋体" w:hAnsi="宋体" w:eastAsia="宋体" w:cs="宋体"/>
          <w:color w:val="auto"/>
          <w:highlight w:val="none"/>
        </w:rPr>
        <w:t>发现招标文件内容违反国家有关强制性规定或者采购文件存在歧义、重大缺陷导致评标工作无法进行时，停止评标并向采购人或者采购代理机构书面说明情况；</w:t>
      </w:r>
    </w:p>
    <w:p>
      <w:pPr>
        <w:pStyle w:val="37"/>
        <w:numPr>
          <w:ilvl w:val="1"/>
          <w:numId w:val="36"/>
        </w:numPr>
        <w:bidi w:val="0"/>
        <w:rPr>
          <w:rFonts w:hint="eastAsia" w:ascii="宋体" w:hAnsi="宋体" w:eastAsia="宋体" w:cs="宋体"/>
          <w:color w:val="auto"/>
          <w:highlight w:val="none"/>
        </w:rPr>
      </w:pPr>
      <w:r>
        <w:rPr>
          <w:rFonts w:hint="eastAsia" w:ascii="宋体" w:hAnsi="宋体" w:eastAsia="宋体" w:cs="宋体"/>
          <w:color w:val="auto"/>
          <w:highlight w:val="none"/>
        </w:rPr>
        <w:t>及时向财政、监察等部门举报在评标过程中受到的非法干预情况；</w:t>
      </w:r>
    </w:p>
    <w:p>
      <w:pPr>
        <w:pStyle w:val="37"/>
        <w:numPr>
          <w:ilvl w:val="1"/>
          <w:numId w:val="36"/>
        </w:numPr>
        <w:bidi w:val="0"/>
        <w:rPr>
          <w:rFonts w:hint="eastAsia" w:ascii="宋体" w:hAnsi="宋体" w:eastAsia="宋体" w:cs="宋体"/>
          <w:color w:val="auto"/>
          <w:highlight w:val="none"/>
        </w:rPr>
      </w:pPr>
      <w:r>
        <w:rPr>
          <w:rFonts w:hint="eastAsia" w:ascii="宋体" w:hAnsi="宋体" w:eastAsia="宋体" w:cs="宋体"/>
          <w:color w:val="auto"/>
          <w:highlight w:val="none"/>
        </w:rPr>
        <w:t>配合答复处理供应商的询问、质疑和投诉等事项；</w:t>
      </w:r>
    </w:p>
    <w:p>
      <w:pPr>
        <w:pStyle w:val="37"/>
        <w:numPr>
          <w:ilvl w:val="1"/>
          <w:numId w:val="36"/>
        </w:numPr>
        <w:bidi w:val="0"/>
        <w:rPr>
          <w:rFonts w:hint="eastAsia" w:ascii="宋体" w:hAnsi="宋体" w:eastAsia="宋体" w:cs="宋体"/>
          <w:color w:val="auto"/>
          <w:highlight w:val="none"/>
        </w:rPr>
      </w:pPr>
      <w:r>
        <w:rPr>
          <w:rFonts w:hint="eastAsia" w:ascii="宋体" w:hAnsi="宋体" w:eastAsia="宋体" w:cs="宋体"/>
          <w:color w:val="auto"/>
          <w:highlight w:val="none"/>
        </w:rPr>
        <w:t>法律、法规和规章规定的其他义务。</w:t>
      </w:r>
    </w:p>
    <w:p>
      <w:pPr>
        <w:pStyle w:val="26"/>
        <w:numPr>
          <w:ilvl w:val="1"/>
          <w:numId w:val="11"/>
        </w:numPr>
        <w:bidi w:val="0"/>
        <w:rPr>
          <w:rFonts w:hint="eastAsia" w:ascii="宋体" w:hAnsi="宋体" w:eastAsia="宋体" w:cs="宋体"/>
          <w:color w:val="auto"/>
          <w:highlight w:val="none"/>
        </w:rPr>
      </w:pPr>
      <w:bookmarkStart w:id="1170" w:name="_Toc27047"/>
      <w:bookmarkStart w:id="1171" w:name="_Toc22368"/>
      <w:bookmarkStart w:id="1172" w:name="_Toc1690"/>
      <w:bookmarkStart w:id="1173" w:name="_Toc319440195"/>
      <w:bookmarkStart w:id="1174" w:name="_Toc327196346"/>
      <w:bookmarkStart w:id="1175" w:name="_Toc29759"/>
      <w:bookmarkStart w:id="1176" w:name="_Toc19071"/>
      <w:bookmarkStart w:id="1177" w:name="_Toc25994"/>
      <w:bookmarkStart w:id="1178" w:name="_Toc4379"/>
      <w:bookmarkStart w:id="1179" w:name="_Toc30872"/>
      <w:bookmarkStart w:id="1180" w:name="_Toc3688"/>
      <w:bookmarkStart w:id="1181" w:name="_Toc24913"/>
      <w:bookmarkStart w:id="1182" w:name="_Toc12088"/>
      <w:bookmarkStart w:id="1183" w:name="_Toc28428"/>
      <w:r>
        <w:rPr>
          <w:rFonts w:hint="eastAsia" w:ascii="宋体" w:hAnsi="宋体" w:eastAsia="宋体" w:cs="宋体"/>
          <w:color w:val="auto"/>
          <w:highlight w:val="none"/>
          <w:lang w:eastAsia="zh-CN"/>
        </w:rPr>
        <w:t>评标专家</w:t>
      </w:r>
      <w:r>
        <w:rPr>
          <w:rFonts w:hint="eastAsia" w:ascii="宋体" w:hAnsi="宋体" w:eastAsia="宋体" w:cs="宋体"/>
          <w:color w:val="auto"/>
          <w:highlight w:val="none"/>
        </w:rPr>
        <w:t>在政府采购活动中应当遵守以下工作纪律</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pPr>
        <w:pStyle w:val="37"/>
        <w:numPr>
          <w:ilvl w:val="1"/>
          <w:numId w:val="37"/>
        </w:numPr>
        <w:bidi w:val="0"/>
        <w:rPr>
          <w:rFonts w:hint="eastAsia" w:ascii="宋体" w:hAnsi="宋体" w:eastAsia="宋体" w:cs="宋体"/>
          <w:color w:val="auto"/>
          <w:highlight w:val="none"/>
        </w:rPr>
      </w:pPr>
      <w:bookmarkStart w:id="1184" w:name="_Toc28956"/>
      <w:r>
        <w:rPr>
          <w:rFonts w:hint="eastAsia" w:ascii="宋体" w:hAnsi="宋体" w:eastAsia="宋体" w:cs="宋体"/>
          <w:color w:val="auto"/>
          <w:highlight w:val="none"/>
        </w:rPr>
        <w:t>遵行《</w:t>
      </w:r>
      <w:r>
        <w:rPr>
          <w:rFonts w:hint="eastAsia" w:ascii="宋体" w:hAnsi="宋体" w:eastAsia="宋体" w:cs="宋体"/>
          <w:color w:val="auto"/>
          <w:highlight w:val="none"/>
          <w:lang w:val="en-US" w:eastAsia="zh-CN"/>
        </w:rPr>
        <w:t>中华人民共和国</w:t>
      </w:r>
      <w:r>
        <w:rPr>
          <w:rFonts w:hint="eastAsia" w:ascii="宋体" w:hAnsi="宋体" w:eastAsia="宋体" w:cs="宋体"/>
          <w:color w:val="auto"/>
          <w:highlight w:val="none"/>
        </w:rPr>
        <w:t>政府采购法》第十二条和《</w:t>
      </w:r>
      <w:r>
        <w:rPr>
          <w:rFonts w:hint="eastAsia" w:ascii="宋体" w:hAnsi="宋体" w:eastAsia="宋体" w:cs="宋体"/>
          <w:color w:val="auto"/>
          <w:highlight w:val="none"/>
          <w:lang w:val="en-US" w:eastAsia="zh-CN"/>
        </w:rPr>
        <w:t>中华人民共和国</w:t>
      </w:r>
      <w:r>
        <w:rPr>
          <w:rFonts w:hint="eastAsia" w:ascii="宋体" w:hAnsi="宋体" w:eastAsia="宋体" w:cs="宋体"/>
          <w:color w:val="auto"/>
          <w:highlight w:val="none"/>
        </w:rPr>
        <w:t>政府采购法实施条例》第九条及财政部关于回避的规定；</w:t>
      </w:r>
    </w:p>
    <w:p>
      <w:pPr>
        <w:pStyle w:val="37"/>
        <w:numPr>
          <w:ilvl w:val="1"/>
          <w:numId w:val="37"/>
        </w:numPr>
        <w:bidi w:val="0"/>
        <w:rPr>
          <w:rFonts w:hint="eastAsia" w:ascii="宋体" w:hAnsi="宋体" w:eastAsia="宋体" w:cs="宋体"/>
          <w:color w:val="auto"/>
          <w:highlight w:val="none"/>
        </w:rPr>
      </w:pPr>
      <w:r>
        <w:rPr>
          <w:rFonts w:hint="eastAsia" w:ascii="宋体" w:hAnsi="宋体" w:eastAsia="宋体" w:cs="宋体"/>
          <w:color w:val="auto"/>
          <w:highlight w:val="none"/>
        </w:rPr>
        <w:t>评标前，应当将通讯工具或者相关电子设备交由招标采购单位统一保管；</w:t>
      </w:r>
    </w:p>
    <w:p>
      <w:pPr>
        <w:pStyle w:val="37"/>
        <w:numPr>
          <w:ilvl w:val="1"/>
          <w:numId w:val="37"/>
        </w:numPr>
        <w:bidi w:val="0"/>
        <w:rPr>
          <w:rFonts w:hint="eastAsia" w:ascii="宋体" w:hAnsi="宋体" w:eastAsia="宋体" w:cs="宋体"/>
          <w:color w:val="auto"/>
          <w:highlight w:val="none"/>
        </w:rPr>
      </w:pPr>
      <w:r>
        <w:rPr>
          <w:rFonts w:hint="eastAsia" w:ascii="宋体" w:hAnsi="宋体" w:eastAsia="宋体" w:cs="宋体"/>
          <w:color w:val="auto"/>
          <w:highlight w:val="none"/>
        </w:rPr>
        <w:t>评标过程中，不得与外界联系，因发生不可预见情况，确实需要与外界联系的，应当在监督人员监督之下办理；</w:t>
      </w:r>
    </w:p>
    <w:p>
      <w:pPr>
        <w:pStyle w:val="37"/>
        <w:numPr>
          <w:ilvl w:val="1"/>
          <w:numId w:val="37"/>
        </w:numPr>
        <w:bidi w:val="0"/>
        <w:rPr>
          <w:rFonts w:hint="eastAsia" w:ascii="宋体" w:hAnsi="宋体" w:eastAsia="宋体" w:cs="宋体"/>
          <w:color w:val="auto"/>
          <w:highlight w:val="none"/>
        </w:rPr>
      </w:pPr>
      <w:r>
        <w:rPr>
          <w:rFonts w:hint="eastAsia" w:ascii="宋体" w:hAnsi="宋体" w:eastAsia="宋体" w:cs="宋体"/>
          <w:color w:val="auto"/>
          <w:highlight w:val="none"/>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37"/>
        <w:numPr>
          <w:ilvl w:val="1"/>
          <w:numId w:val="37"/>
        </w:numPr>
        <w:bidi w:val="0"/>
        <w:rPr>
          <w:rFonts w:hint="eastAsia" w:ascii="宋体" w:hAnsi="宋体" w:eastAsia="宋体" w:cs="宋体"/>
          <w:color w:val="auto"/>
          <w:highlight w:val="none"/>
        </w:rPr>
      </w:pPr>
      <w:r>
        <w:rPr>
          <w:rFonts w:hint="eastAsia" w:ascii="宋体" w:hAnsi="宋体" w:eastAsia="宋体" w:cs="宋体"/>
          <w:color w:val="auto"/>
          <w:highlight w:val="none"/>
        </w:rPr>
        <w:t>在评标过程中和评标结束后，不得记录、复制或带走任何评标资料，除因规定的义务外，不得向外界透露评标内容；</w:t>
      </w:r>
    </w:p>
    <w:p>
      <w:pPr>
        <w:pStyle w:val="37"/>
        <w:numPr>
          <w:ilvl w:val="1"/>
          <w:numId w:val="37"/>
        </w:num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服从评标现场招标采购单位的现场秩序管理，接受评标现场监督人员的合法监督</w:t>
      </w:r>
      <w:r>
        <w:rPr>
          <w:rFonts w:hint="eastAsia" w:ascii="宋体" w:hAnsi="宋体" w:eastAsia="宋体" w:cs="宋体"/>
          <w:color w:val="auto"/>
          <w:highlight w:val="none"/>
          <w:lang w:eastAsia="zh-CN"/>
        </w:rPr>
        <w:t>；</w:t>
      </w:r>
    </w:p>
    <w:p>
      <w:pPr>
        <w:pStyle w:val="37"/>
        <w:numPr>
          <w:ilvl w:val="1"/>
          <w:numId w:val="37"/>
        </w:numPr>
        <w:bidi w:val="0"/>
        <w:rPr>
          <w:rFonts w:hint="eastAsia" w:ascii="宋体" w:hAnsi="宋体" w:eastAsia="宋体" w:cs="宋体"/>
          <w:color w:val="auto"/>
          <w:highlight w:val="none"/>
        </w:rPr>
      </w:pPr>
      <w:r>
        <w:rPr>
          <w:rFonts w:hint="eastAsia" w:ascii="宋体" w:hAnsi="宋体" w:eastAsia="宋体" w:cs="宋体"/>
          <w:color w:val="auto"/>
          <w:highlight w:val="none"/>
        </w:rPr>
        <w:t>遵守有关廉洁自律规定，不得私下接触供应商，不得收受供应商及有关业务单位和个人的财物或好处，不得接受招标采购单位的请托。</w:t>
      </w:r>
    </w:p>
    <w:p>
      <w:pPr>
        <w:pStyle w:val="37"/>
        <w:numPr>
          <w:ilvl w:val="1"/>
          <w:numId w:val="37"/>
        </w:num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有关部门(机构)制定的其他评审工作纪律</w:t>
      </w:r>
      <w:r>
        <w:rPr>
          <w:rFonts w:hint="eastAsia" w:ascii="宋体" w:hAnsi="宋体" w:eastAsia="宋体" w:cs="宋体"/>
          <w:color w:val="auto"/>
          <w:highlight w:val="none"/>
          <w:lang w:eastAsia="zh-CN"/>
        </w:rPr>
        <w:t>。</w:t>
      </w:r>
    </w:p>
    <w:p>
      <w:pPr>
        <w:pStyle w:val="26"/>
        <w:numPr>
          <w:ilvl w:val="1"/>
          <w:numId w:val="11"/>
        </w:numPr>
        <w:bidi w:val="0"/>
        <w:rPr>
          <w:rFonts w:hint="eastAsia" w:ascii="宋体" w:hAnsi="宋体" w:eastAsia="宋体" w:cs="宋体"/>
          <w:color w:val="auto"/>
          <w:highlight w:val="none"/>
        </w:rPr>
      </w:pPr>
      <w:bookmarkStart w:id="1185" w:name="_Toc8256"/>
      <w:bookmarkStart w:id="1186" w:name="_Toc26220"/>
      <w:bookmarkStart w:id="1187" w:name="_Toc30239"/>
      <w:bookmarkStart w:id="1188" w:name="_Toc26803"/>
      <w:r>
        <w:rPr>
          <w:rFonts w:hint="eastAsia" w:ascii="宋体" w:hAnsi="宋体" w:eastAsia="宋体" w:cs="宋体"/>
          <w:color w:val="auto"/>
          <w:highlight w:val="none"/>
        </w:rPr>
        <w:t>评标委员会及其成员不得有下列行为</w:t>
      </w:r>
      <w:bookmarkEnd w:id="1185"/>
      <w:bookmarkEnd w:id="1186"/>
      <w:bookmarkEnd w:id="1187"/>
      <w:bookmarkEnd w:id="1188"/>
    </w:p>
    <w:p>
      <w:pPr>
        <w:pStyle w:val="37"/>
        <w:numPr>
          <w:ilvl w:val="1"/>
          <w:numId w:val="38"/>
        </w:numPr>
        <w:bidi w:val="0"/>
        <w:rPr>
          <w:rFonts w:hint="eastAsia" w:ascii="宋体" w:hAnsi="宋体" w:eastAsia="宋体" w:cs="宋体"/>
          <w:color w:val="auto"/>
          <w:highlight w:val="none"/>
        </w:rPr>
      </w:pPr>
      <w:r>
        <w:rPr>
          <w:rFonts w:hint="eastAsia" w:ascii="宋体" w:hAnsi="宋体" w:eastAsia="宋体" w:cs="宋体"/>
          <w:color w:val="auto"/>
          <w:highlight w:val="none"/>
        </w:rPr>
        <w:t>确定参与评标至评标结束前私自接触投标人；</w:t>
      </w:r>
    </w:p>
    <w:p>
      <w:pPr>
        <w:pStyle w:val="37"/>
        <w:numPr>
          <w:ilvl w:val="1"/>
          <w:numId w:val="38"/>
        </w:numPr>
        <w:bidi w:val="0"/>
        <w:rPr>
          <w:rFonts w:hint="eastAsia" w:ascii="宋体" w:hAnsi="宋体" w:eastAsia="宋体" w:cs="宋体"/>
          <w:color w:val="auto"/>
          <w:highlight w:val="none"/>
        </w:rPr>
      </w:pPr>
      <w:r>
        <w:rPr>
          <w:rFonts w:hint="eastAsia" w:ascii="宋体" w:hAnsi="宋体" w:eastAsia="宋体" w:cs="宋体"/>
          <w:color w:val="auto"/>
          <w:highlight w:val="none"/>
        </w:rPr>
        <w:t>接受投标人提出的与投标文件不一致的澄清或者说明，《政府采购货物和服务招标投标管理办法》</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财政部令第87号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第五十一条规定的情形除外；</w:t>
      </w:r>
    </w:p>
    <w:p>
      <w:pPr>
        <w:pStyle w:val="37"/>
        <w:numPr>
          <w:ilvl w:val="1"/>
          <w:numId w:val="38"/>
        </w:numPr>
        <w:bidi w:val="0"/>
        <w:rPr>
          <w:rFonts w:hint="eastAsia" w:ascii="宋体" w:hAnsi="宋体" w:eastAsia="宋体" w:cs="宋体"/>
          <w:color w:val="auto"/>
          <w:highlight w:val="none"/>
        </w:rPr>
      </w:pPr>
      <w:r>
        <w:rPr>
          <w:rFonts w:hint="eastAsia" w:ascii="宋体" w:hAnsi="宋体" w:eastAsia="宋体" w:cs="宋体"/>
          <w:color w:val="auto"/>
          <w:highlight w:val="none"/>
        </w:rPr>
        <w:t>违反评标纪律发表倾向性意见或者征询采购人的倾向性意见；</w:t>
      </w:r>
    </w:p>
    <w:p>
      <w:pPr>
        <w:pStyle w:val="37"/>
        <w:numPr>
          <w:ilvl w:val="1"/>
          <w:numId w:val="38"/>
        </w:numPr>
        <w:bidi w:val="0"/>
        <w:rPr>
          <w:rFonts w:hint="eastAsia" w:ascii="宋体" w:hAnsi="宋体" w:eastAsia="宋体" w:cs="宋体"/>
          <w:color w:val="auto"/>
          <w:highlight w:val="none"/>
        </w:rPr>
      </w:pPr>
      <w:r>
        <w:rPr>
          <w:rFonts w:hint="eastAsia" w:ascii="宋体" w:hAnsi="宋体" w:eastAsia="宋体" w:cs="宋体"/>
          <w:color w:val="auto"/>
          <w:highlight w:val="none"/>
        </w:rPr>
        <w:t>对需要专业判断的主观评审因素协商评分；</w:t>
      </w:r>
    </w:p>
    <w:p>
      <w:pPr>
        <w:pStyle w:val="37"/>
        <w:numPr>
          <w:ilvl w:val="1"/>
          <w:numId w:val="38"/>
        </w:numPr>
        <w:bidi w:val="0"/>
        <w:rPr>
          <w:rFonts w:hint="eastAsia" w:ascii="宋体" w:hAnsi="宋体" w:eastAsia="宋体" w:cs="宋体"/>
          <w:color w:val="auto"/>
          <w:highlight w:val="none"/>
        </w:rPr>
      </w:pPr>
      <w:r>
        <w:rPr>
          <w:rFonts w:hint="eastAsia" w:ascii="宋体" w:hAnsi="宋体" w:eastAsia="宋体" w:cs="宋体"/>
          <w:color w:val="auto"/>
          <w:highlight w:val="none"/>
        </w:rPr>
        <w:t>在评标过程中擅离职守，影响评标程序正常进行的；</w:t>
      </w:r>
    </w:p>
    <w:p>
      <w:pPr>
        <w:pStyle w:val="37"/>
        <w:numPr>
          <w:ilvl w:val="1"/>
          <w:numId w:val="38"/>
        </w:numPr>
        <w:bidi w:val="0"/>
        <w:rPr>
          <w:rFonts w:hint="eastAsia" w:ascii="宋体" w:hAnsi="宋体" w:eastAsia="宋体" w:cs="宋体"/>
          <w:color w:val="auto"/>
          <w:highlight w:val="none"/>
        </w:rPr>
      </w:pPr>
      <w:r>
        <w:rPr>
          <w:rFonts w:hint="eastAsia" w:ascii="宋体" w:hAnsi="宋体" w:eastAsia="宋体" w:cs="宋体"/>
          <w:color w:val="auto"/>
          <w:highlight w:val="none"/>
        </w:rPr>
        <w:t>记录、复制或者带走任何评标资料；</w:t>
      </w:r>
    </w:p>
    <w:p>
      <w:pPr>
        <w:pStyle w:val="37"/>
        <w:numPr>
          <w:ilvl w:val="1"/>
          <w:numId w:val="38"/>
        </w:numPr>
        <w:bidi w:val="0"/>
        <w:rPr>
          <w:rFonts w:hint="eastAsia" w:ascii="宋体" w:hAnsi="宋体" w:eastAsia="宋体" w:cs="宋体"/>
          <w:color w:val="auto"/>
          <w:highlight w:val="none"/>
        </w:rPr>
      </w:pPr>
      <w:r>
        <w:rPr>
          <w:rFonts w:hint="eastAsia" w:ascii="宋体" w:hAnsi="宋体" w:eastAsia="宋体" w:cs="宋体"/>
          <w:color w:val="auto"/>
          <w:highlight w:val="none"/>
        </w:rPr>
        <w:t>其他不遵守评标纪律的行为。</w:t>
      </w:r>
    </w:p>
    <w:p>
      <w:pPr>
        <w:pStyle w:val="29"/>
        <w:bidi w:val="0"/>
        <w:rPr>
          <w:rFonts w:hint="eastAsia" w:ascii="宋体" w:hAnsi="宋体" w:eastAsia="宋体" w:cs="宋体"/>
          <w:color w:val="auto"/>
          <w:highlight w:val="none"/>
        </w:rPr>
      </w:pPr>
      <w:r>
        <w:rPr>
          <w:rFonts w:hint="eastAsia" w:ascii="宋体" w:hAnsi="宋体" w:eastAsia="宋体" w:cs="宋体"/>
          <w:color w:val="auto"/>
          <w:highlight w:val="none"/>
        </w:rPr>
        <w:t>评标委员会成员有前款第一至五项行为之一的，其评审意见无效，并不得获取评审劳务报酬和报销异地评审差旅费。</w:t>
      </w:r>
    </w:p>
    <w:p>
      <w:pPr>
        <w:pStyle w:val="26"/>
        <w:numPr>
          <w:ilvl w:val="1"/>
          <w:numId w:val="11"/>
        </w:numPr>
        <w:bidi w:val="0"/>
        <w:rPr>
          <w:rFonts w:hint="eastAsia" w:ascii="宋体" w:hAnsi="宋体" w:eastAsia="宋体" w:cs="宋体"/>
          <w:color w:val="auto"/>
          <w:highlight w:val="none"/>
        </w:rPr>
      </w:pPr>
      <w:bookmarkStart w:id="1189" w:name="_Toc6666"/>
      <w:bookmarkStart w:id="1190" w:name="_Toc13225"/>
      <w:r>
        <w:rPr>
          <w:rFonts w:hint="eastAsia" w:ascii="宋体" w:hAnsi="宋体" w:eastAsia="宋体" w:cs="宋体"/>
          <w:color w:val="auto"/>
          <w:highlight w:val="none"/>
          <w:lang w:val="en-US" w:eastAsia="zh-CN"/>
        </w:rPr>
        <w:t>评标委员会及其成员不得有下列违约情形</w:t>
      </w:r>
      <w:bookmarkEnd w:id="1189"/>
      <w:bookmarkEnd w:id="1190"/>
    </w:p>
    <w:p>
      <w:pPr>
        <w:pStyle w:val="37"/>
        <w:numPr>
          <w:ilvl w:val="1"/>
          <w:numId w:val="39"/>
        </w:numPr>
        <w:bidi w:val="0"/>
        <w:rPr>
          <w:rFonts w:hint="eastAsia" w:ascii="宋体" w:hAnsi="宋体" w:eastAsia="宋体" w:cs="宋体"/>
          <w:color w:val="auto"/>
          <w:highlight w:val="none"/>
        </w:rPr>
      </w:pPr>
      <w:r>
        <w:rPr>
          <w:rFonts w:hint="eastAsia" w:ascii="宋体" w:hAnsi="宋体" w:eastAsia="宋体" w:cs="宋体"/>
          <w:color w:val="auto"/>
          <w:highlight w:val="none"/>
        </w:rPr>
        <w:t>答应参加评审活动后，无正当理由不参加或者迟到，且不及时告知抽取终端工作人员，导致评审活动无法正常进行的；</w:t>
      </w:r>
    </w:p>
    <w:p>
      <w:pPr>
        <w:pStyle w:val="37"/>
        <w:numPr>
          <w:ilvl w:val="1"/>
          <w:numId w:val="39"/>
        </w:numPr>
        <w:bidi w:val="0"/>
        <w:rPr>
          <w:rFonts w:hint="eastAsia" w:ascii="宋体" w:hAnsi="宋体" w:eastAsia="宋体" w:cs="宋体"/>
          <w:color w:val="auto"/>
          <w:highlight w:val="none"/>
        </w:rPr>
      </w:pPr>
      <w:r>
        <w:rPr>
          <w:rFonts w:hint="eastAsia" w:ascii="宋体" w:hAnsi="宋体" w:eastAsia="宋体" w:cs="宋体"/>
          <w:color w:val="auto"/>
          <w:highlight w:val="none"/>
        </w:rPr>
        <w:t>不遵守评审现场工作纪律的；</w:t>
      </w:r>
    </w:p>
    <w:p>
      <w:pPr>
        <w:pStyle w:val="37"/>
        <w:numPr>
          <w:ilvl w:val="1"/>
          <w:numId w:val="39"/>
        </w:numPr>
        <w:bidi w:val="0"/>
        <w:rPr>
          <w:rFonts w:hint="eastAsia" w:ascii="宋体" w:hAnsi="宋体" w:eastAsia="宋体" w:cs="宋体"/>
          <w:color w:val="auto"/>
          <w:highlight w:val="none"/>
        </w:rPr>
      </w:pPr>
      <w:r>
        <w:rPr>
          <w:rFonts w:hint="eastAsia" w:ascii="宋体" w:hAnsi="宋体" w:eastAsia="宋体" w:cs="宋体"/>
          <w:color w:val="auto"/>
          <w:highlight w:val="none"/>
        </w:rPr>
        <w:t>明显故意拖延评审时间的；</w:t>
      </w:r>
    </w:p>
    <w:p>
      <w:pPr>
        <w:pStyle w:val="37"/>
        <w:numPr>
          <w:ilvl w:val="1"/>
          <w:numId w:val="39"/>
        </w:numPr>
        <w:bidi w:val="0"/>
        <w:rPr>
          <w:rFonts w:hint="eastAsia" w:ascii="宋体" w:hAnsi="宋体" w:eastAsia="宋体" w:cs="宋体"/>
          <w:color w:val="auto"/>
          <w:highlight w:val="none"/>
        </w:rPr>
      </w:pPr>
      <w:r>
        <w:rPr>
          <w:rFonts w:hint="eastAsia" w:ascii="宋体" w:hAnsi="宋体" w:eastAsia="宋体" w:cs="宋体"/>
          <w:color w:val="auto"/>
          <w:highlight w:val="none"/>
        </w:rPr>
        <w:t>抄袭其他评审委员会成员的评审意见的；</w:t>
      </w:r>
    </w:p>
    <w:p>
      <w:pPr>
        <w:pStyle w:val="37"/>
        <w:numPr>
          <w:ilvl w:val="1"/>
          <w:numId w:val="39"/>
        </w:numPr>
        <w:bidi w:val="0"/>
        <w:rPr>
          <w:rFonts w:hint="eastAsia" w:ascii="宋体" w:hAnsi="宋体" w:eastAsia="宋体" w:cs="宋体"/>
          <w:color w:val="auto"/>
          <w:highlight w:val="none"/>
        </w:rPr>
      </w:pPr>
      <w:r>
        <w:rPr>
          <w:rFonts w:hint="eastAsia" w:ascii="宋体" w:hAnsi="宋体" w:eastAsia="宋体" w:cs="宋体"/>
          <w:color w:val="auto"/>
          <w:highlight w:val="none"/>
        </w:rPr>
        <w:t>不按照政府采购法律制度和采购文件的规定进行评审，导致评审过程、评审结果违法违规，情节轻微不构成行政处罚的；</w:t>
      </w:r>
    </w:p>
    <w:p>
      <w:pPr>
        <w:pStyle w:val="37"/>
        <w:numPr>
          <w:ilvl w:val="1"/>
          <w:numId w:val="39"/>
        </w:numPr>
        <w:bidi w:val="0"/>
        <w:rPr>
          <w:rFonts w:hint="eastAsia" w:ascii="宋体" w:hAnsi="宋体" w:eastAsia="宋体" w:cs="宋体"/>
          <w:color w:val="auto"/>
          <w:highlight w:val="none"/>
        </w:rPr>
      </w:pPr>
      <w:r>
        <w:rPr>
          <w:rFonts w:hint="eastAsia" w:ascii="宋体" w:hAnsi="宋体" w:eastAsia="宋体" w:cs="宋体"/>
          <w:color w:val="auto"/>
          <w:highlight w:val="none"/>
        </w:rPr>
        <w:t>索取高于规定的劳务报酬，或者要求先给付报酬再进行评审，或者因劳务报酬低而拒绝评审、拒绝签署评审报告的；</w:t>
      </w:r>
    </w:p>
    <w:p>
      <w:pPr>
        <w:pStyle w:val="37"/>
        <w:numPr>
          <w:ilvl w:val="1"/>
          <w:numId w:val="39"/>
        </w:numPr>
        <w:bidi w:val="0"/>
        <w:rPr>
          <w:rFonts w:hint="eastAsia" w:ascii="宋体" w:hAnsi="宋体" w:eastAsia="宋体" w:cs="宋体"/>
          <w:color w:val="auto"/>
          <w:highlight w:val="none"/>
        </w:rPr>
      </w:pPr>
      <w:r>
        <w:rPr>
          <w:rFonts w:hint="eastAsia" w:ascii="宋体" w:hAnsi="宋体" w:eastAsia="宋体" w:cs="宋体"/>
          <w:color w:val="auto"/>
          <w:highlight w:val="none"/>
        </w:rPr>
        <w:t>不按照《四川省政府采购评审专家管理实施办法》的规定记录或者反馈采购人或者采购代理机构的职责履行情况的；</w:t>
      </w:r>
    </w:p>
    <w:p>
      <w:pPr>
        <w:pStyle w:val="37"/>
        <w:numPr>
          <w:ilvl w:val="1"/>
          <w:numId w:val="39"/>
        </w:numPr>
        <w:bidi w:val="0"/>
        <w:rPr>
          <w:rFonts w:hint="eastAsia" w:ascii="宋体" w:hAnsi="宋体" w:eastAsia="宋体" w:cs="宋体"/>
          <w:color w:val="auto"/>
          <w:highlight w:val="none"/>
        </w:rPr>
      </w:pPr>
      <w:r>
        <w:rPr>
          <w:rFonts w:hint="eastAsia" w:ascii="宋体" w:hAnsi="宋体" w:eastAsia="宋体" w:cs="宋体"/>
          <w:color w:val="auto"/>
          <w:highlight w:val="none"/>
        </w:rPr>
        <w:t>存在其他违反政府采购法规制度，但不构成行政处罚行为的。</w:t>
      </w:r>
    </w:p>
    <w:p>
      <w:pPr>
        <w:pStyle w:val="25"/>
        <w:bidi w:val="0"/>
        <w:rPr>
          <w:rFonts w:hint="eastAsia" w:ascii="宋体" w:hAnsi="宋体" w:eastAsia="宋体" w:cs="宋体"/>
          <w:color w:val="auto"/>
          <w:highlight w:val="none"/>
        </w:rPr>
      </w:pPr>
    </w:p>
    <w:p>
      <w:pPr>
        <w:pStyle w:val="24"/>
        <w:numPr>
          <w:ilvl w:val="0"/>
          <w:numId w:val="11"/>
        </w:num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1184"/>
      <w:bookmarkStart w:id="1191" w:name="_Toc18908"/>
      <w:bookmarkStart w:id="1192" w:name="_Toc7547"/>
      <w:bookmarkStart w:id="1193" w:name="_Toc13264"/>
      <w:bookmarkStart w:id="1194" w:name="_Toc229"/>
      <w:bookmarkStart w:id="1195" w:name="_Toc31619"/>
      <w:r>
        <w:rPr>
          <w:rFonts w:hint="eastAsia" w:ascii="宋体" w:hAnsi="宋体" w:eastAsia="宋体" w:cs="宋体"/>
          <w:color w:val="auto"/>
          <w:highlight w:val="none"/>
        </w:rPr>
        <w:t>政府采购合同</w:t>
      </w:r>
      <w:bookmarkEnd w:id="1191"/>
      <w:bookmarkEnd w:id="1192"/>
      <w:bookmarkEnd w:id="1193"/>
      <w:bookmarkEnd w:id="1194"/>
      <w:r>
        <w:rPr>
          <w:rFonts w:hint="eastAsia" w:ascii="宋体" w:hAnsi="宋体" w:eastAsia="宋体" w:cs="宋体"/>
          <w:color w:val="auto"/>
          <w:highlight w:val="none"/>
          <w:lang w:val="en-US" w:eastAsia="zh-CN"/>
        </w:rPr>
        <w:t>(参考文本)</w:t>
      </w:r>
      <w:bookmarkEnd w:id="1195"/>
    </w:p>
    <w:p>
      <w:pPr>
        <w:pStyle w:val="25"/>
        <w:bidi w:val="0"/>
        <w:rPr>
          <w:rFonts w:hint="eastAsia" w:ascii="宋体" w:hAnsi="宋体" w:eastAsia="宋体" w:cs="宋体"/>
          <w:color w:val="auto"/>
          <w:highlight w:val="none"/>
        </w:rPr>
      </w:pPr>
      <w:r>
        <w:rPr>
          <w:rFonts w:hint="eastAsia" w:ascii="宋体" w:hAnsi="宋体" w:eastAsia="宋体" w:cs="宋体"/>
          <w:b/>
          <w:bCs/>
          <w:color w:val="auto"/>
          <w:highlight w:val="none"/>
        </w:rPr>
        <w:t>说明：此合同为格式模板合同，仅作为采购人与中标人签订合同之时的参考，采购人有权根据实际情况对合同进行调整。</w:t>
      </w:r>
    </w:p>
    <w:p>
      <w:pPr>
        <w:pStyle w:val="25"/>
        <w:bidi w:val="0"/>
        <w:rPr>
          <w:rFonts w:hint="eastAsia" w:ascii="宋体" w:hAnsi="宋体" w:eastAsia="宋体" w:cs="宋体"/>
          <w:color w:val="auto"/>
          <w:highlight w:val="none"/>
        </w:rPr>
      </w:pPr>
    </w:p>
    <w:p>
      <w:pPr>
        <w:pageBreakBefore w:val="0"/>
        <w:kinsoku/>
        <w:wordWrap/>
        <w:overflowPunct/>
        <w:topLinePunct w:val="0"/>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合同编号：XXXX。</w:t>
      </w:r>
    </w:p>
    <w:p>
      <w:pPr>
        <w:pageBreakBefore w:val="0"/>
        <w:kinsoku/>
        <w:wordWrap/>
        <w:overflowPunct/>
        <w:topLinePunct w:val="0"/>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签订地点：XXXX。</w:t>
      </w:r>
    </w:p>
    <w:p>
      <w:pPr>
        <w:pageBreakBefore w:val="0"/>
        <w:kinsoku/>
        <w:wordWrap/>
        <w:overflowPunct/>
        <w:topLinePunct w:val="0"/>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签订时间：XXXX年XX月XX日。</w:t>
      </w:r>
    </w:p>
    <w:p>
      <w:pPr>
        <w:pageBreakBefore w:val="0"/>
        <w:kinsoku/>
        <w:wordWrap/>
        <w:overflowPunct/>
        <w:topLinePunct w:val="0"/>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ageBreakBefore w:val="0"/>
        <w:kinsoku/>
        <w:wordWrap/>
        <w:overflowPunct/>
        <w:topLinePunct w:val="0"/>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ageBreakBefore w:val="0"/>
        <w:widowControl w:val="0"/>
        <w:kinsoku/>
        <w:wordWrap/>
        <w:overflowPunct/>
        <w:topLinePunct w:val="0"/>
        <w:bidi w:val="0"/>
        <w:snapToGrid/>
        <w:spacing w:line="44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根据《中华人民共和国政府采购法》、《中华人民共和国民法典》及成都市技师学院2021年度纸质图书采购(项目编号：             )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keepNext/>
        <w:keepLines/>
        <w:pageBreakBefore w:val="0"/>
        <w:widowControl w:val="0"/>
        <w:numPr>
          <w:ilvl w:val="0"/>
          <w:numId w:val="40"/>
        </w:numPr>
        <w:kinsoku/>
        <w:wordWrap/>
        <w:overflowPunct/>
        <w:topLinePunct w:val="0"/>
        <w:bidi w:val="0"/>
        <w:snapToGrid/>
        <w:spacing w:before="0" w:after="0" w:line="440" w:lineRule="exact"/>
        <w:ind w:firstLine="482" w:firstLineChars="200"/>
        <w:jc w:val="both"/>
        <w:textAlignment w:val="auto"/>
        <w:outlineLvl w:val="1"/>
        <w:rPr>
          <w:rFonts w:hint="eastAsia" w:ascii="宋体" w:hAnsi="宋体" w:eastAsia="宋体" w:cs="宋体"/>
          <w:b/>
          <w:bCs/>
          <w:color w:val="auto"/>
          <w:kern w:val="2"/>
          <w:sz w:val="24"/>
          <w:szCs w:val="24"/>
          <w:highlight w:val="none"/>
          <w:lang w:val="en-US" w:eastAsia="zh-CN" w:bidi="ar-SA"/>
        </w:rPr>
      </w:pPr>
      <w:bookmarkStart w:id="1196" w:name="_Toc25382"/>
      <w:bookmarkStart w:id="1197" w:name="_Toc217446107"/>
      <w:bookmarkStart w:id="1198" w:name="_Toc17614"/>
      <w:r>
        <w:rPr>
          <w:rFonts w:hint="eastAsia" w:ascii="宋体" w:hAnsi="宋体" w:eastAsia="宋体" w:cs="宋体"/>
          <w:b/>
          <w:bCs/>
          <w:color w:val="auto"/>
          <w:kern w:val="2"/>
          <w:sz w:val="24"/>
          <w:szCs w:val="24"/>
          <w:highlight w:val="none"/>
          <w:lang w:val="en-US" w:eastAsia="zh-CN" w:bidi="ar-SA"/>
        </w:rPr>
        <w:t>合同货物</w:t>
      </w:r>
      <w:bookmarkEnd w:id="1196"/>
      <w:bookmarkEnd w:id="1197"/>
      <w:bookmarkEnd w:id="1198"/>
    </w:p>
    <w:tbl>
      <w:tblPr>
        <w:tblStyle w:val="1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2229"/>
        <w:gridCol w:w="1791"/>
        <w:gridCol w:w="1150"/>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120"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900"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578"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898"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20"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专业图书</w:t>
            </w:r>
          </w:p>
        </w:tc>
        <w:tc>
          <w:tcPr>
            <w:tcW w:w="900"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约2.</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万</w:t>
            </w:r>
          </w:p>
        </w:tc>
        <w:tc>
          <w:tcPr>
            <w:tcW w:w="578"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册</w:t>
            </w:r>
          </w:p>
        </w:tc>
        <w:tc>
          <w:tcPr>
            <w:tcW w:w="1898"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正版图书，含图书编目加工和运输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0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20"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文史通识类图书</w:t>
            </w:r>
          </w:p>
        </w:tc>
        <w:tc>
          <w:tcPr>
            <w:tcW w:w="900"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约0.8万</w:t>
            </w:r>
          </w:p>
        </w:tc>
        <w:tc>
          <w:tcPr>
            <w:tcW w:w="578"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册</w:t>
            </w:r>
          </w:p>
        </w:tc>
        <w:tc>
          <w:tcPr>
            <w:tcW w:w="1898"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正版图书，含图书编目加工和运输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000" w:type="pct"/>
            <w:gridSpan w:val="5"/>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图书类别见“</w:t>
            </w:r>
            <w:r>
              <w:rPr>
                <w:rFonts w:hint="eastAsia" w:ascii="宋体" w:hAnsi="宋体" w:eastAsia="宋体" w:cs="宋体"/>
                <w:color w:val="auto"/>
                <w:sz w:val="21"/>
                <w:szCs w:val="21"/>
                <w:highlight w:val="none"/>
                <w:lang w:eastAsia="zh-CN"/>
              </w:rPr>
              <w:t>专业图书类型采购计划</w:t>
            </w:r>
            <w:r>
              <w:rPr>
                <w:rFonts w:hint="eastAsia" w:ascii="宋体" w:hAnsi="宋体" w:eastAsia="宋体" w:cs="宋体"/>
                <w:color w:val="auto"/>
                <w:sz w:val="21"/>
                <w:szCs w:val="21"/>
                <w:highlight w:val="none"/>
                <w:lang w:val="en-US" w:eastAsia="zh-CN"/>
              </w:rPr>
              <w:t>”</w:t>
            </w:r>
          </w:p>
        </w:tc>
      </w:tr>
    </w:tbl>
    <w:p>
      <w:pPr>
        <w:keepNext/>
        <w:keepLines/>
        <w:numPr>
          <w:ilvl w:val="0"/>
          <w:numId w:val="40"/>
        </w:numPr>
        <w:snapToGrid/>
        <w:spacing w:after="0"/>
        <w:ind w:firstLine="482" w:firstLineChars="200"/>
        <w:jc w:val="both"/>
        <w:outlineLvl w:val="1"/>
        <w:rPr>
          <w:rFonts w:hint="eastAsia" w:ascii="宋体" w:hAnsi="宋体" w:eastAsia="宋体" w:cs="宋体"/>
          <w:color w:val="auto"/>
          <w:highlight w:val="none"/>
          <w:lang w:val="en-US" w:eastAsia="zh-CN"/>
        </w:rPr>
      </w:pPr>
      <w:bookmarkStart w:id="1199" w:name="_Toc217446108"/>
      <w:bookmarkStart w:id="1200" w:name="_Toc31601"/>
      <w:bookmarkStart w:id="1201" w:name="_Toc30010"/>
      <w:r>
        <w:rPr>
          <w:rFonts w:hint="eastAsia" w:ascii="宋体" w:hAnsi="宋体" w:eastAsia="宋体" w:cs="宋体"/>
          <w:b/>
          <w:bCs/>
          <w:color w:val="auto"/>
          <w:kern w:val="2"/>
          <w:sz w:val="24"/>
          <w:szCs w:val="24"/>
          <w:highlight w:val="none"/>
          <w:lang w:val="en-US" w:eastAsia="zh-CN" w:bidi="ar-SA"/>
        </w:rPr>
        <w:t>合同总价</w:t>
      </w:r>
      <w:bookmarkEnd w:id="1199"/>
      <w:bookmarkEnd w:id="1200"/>
      <w:bookmarkEnd w:id="1201"/>
    </w:p>
    <w:p>
      <w:pPr>
        <w:pStyle w:val="29"/>
        <w:wordWrap w:val="0"/>
        <w:topLinePunct/>
        <w:adjustRightInd/>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1.合同总价为人民币(大写)：</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元整 (小写：</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元整)；</w:t>
      </w:r>
    </w:p>
    <w:p>
      <w:pPr>
        <w:pStyle w:val="29"/>
        <w:wordWrap w:val="0"/>
        <w:topLinePunct/>
        <w:adjustRightInd/>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图书实洋</w:t>
      </w:r>
      <w:r>
        <w:rPr>
          <w:rFonts w:hint="eastAsia" w:ascii="宋体" w:hAnsi="宋体" w:eastAsia="宋体" w:cs="宋体"/>
          <w:color w:val="auto"/>
          <w:sz w:val="24"/>
          <w:szCs w:val="24"/>
          <w:highlight w:val="none"/>
          <w:lang w:val="en-US" w:eastAsia="zh-CN"/>
        </w:rPr>
        <w:t>=码洋金额×(1-</w:t>
      </w:r>
      <w:r>
        <w:rPr>
          <w:rFonts w:hint="eastAsia" w:ascii="宋体" w:hAnsi="宋体" w:eastAsia="宋体" w:cs="宋体"/>
          <w:color w:val="auto"/>
          <w:sz w:val="24"/>
          <w:szCs w:val="24"/>
          <w:highlight w:val="none"/>
          <w:u w:val="none"/>
          <w:lang w:val="en-US" w:eastAsia="zh-CN"/>
        </w:rPr>
        <w:t>下浮率</w:t>
      </w:r>
      <w:r>
        <w:rPr>
          <w:rFonts w:hint="eastAsia" w:ascii="宋体" w:hAnsi="宋体" w:eastAsia="宋体" w:cs="宋体"/>
          <w:color w:val="auto"/>
          <w:sz w:val="24"/>
          <w:szCs w:val="24"/>
          <w:highlight w:val="none"/>
          <w:lang w:val="en-US" w:eastAsia="zh-CN"/>
        </w:rPr>
        <w:t>)</w:t>
      </w:r>
    </w:p>
    <w:p>
      <w:pPr>
        <w:pStyle w:val="29"/>
        <w:wordWrap w:val="0"/>
        <w:topLinePunct/>
        <w:adjustRightInd/>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图书实洋</w:t>
      </w:r>
      <w:r>
        <w:rPr>
          <w:rFonts w:hint="eastAsia" w:ascii="宋体" w:hAnsi="宋体" w:eastAsia="宋体" w:cs="宋体"/>
          <w:color w:val="auto"/>
          <w:sz w:val="24"/>
          <w:szCs w:val="24"/>
          <w:highlight w:val="none"/>
          <w:lang w:val="en-US" w:eastAsia="zh-CN"/>
        </w:rPr>
        <w:t>为乙方</w:t>
      </w:r>
      <w:r>
        <w:rPr>
          <w:rFonts w:hint="eastAsia" w:ascii="宋体" w:hAnsi="宋体" w:eastAsia="宋体" w:cs="宋体"/>
          <w:color w:val="auto"/>
          <w:sz w:val="24"/>
          <w:szCs w:val="24"/>
          <w:highlight w:val="none"/>
        </w:rPr>
        <w:t>所供图书码洋结合中标</w:t>
      </w:r>
      <w:r>
        <w:rPr>
          <w:rFonts w:hint="eastAsia" w:ascii="宋体" w:hAnsi="宋体" w:eastAsia="宋体" w:cs="宋体"/>
          <w:color w:val="auto"/>
          <w:sz w:val="24"/>
          <w:szCs w:val="24"/>
          <w:highlight w:val="none"/>
          <w:lang w:eastAsia="zh-CN"/>
        </w:rPr>
        <w:t>下浮率</w:t>
      </w:r>
      <w:r>
        <w:rPr>
          <w:rFonts w:hint="eastAsia" w:ascii="宋体" w:hAnsi="宋体" w:eastAsia="宋体" w:cs="宋体"/>
          <w:color w:val="auto"/>
          <w:sz w:val="24"/>
          <w:szCs w:val="24"/>
          <w:highlight w:val="none"/>
        </w:rPr>
        <w:t>计算所得的，包含但不限于图书生产、加工、运输(含二次搬运)、仓储分拣、上架编码、</w:t>
      </w:r>
      <w:r>
        <w:rPr>
          <w:rFonts w:hint="eastAsia" w:ascii="宋体" w:hAnsi="宋体" w:eastAsia="宋体" w:cs="宋体"/>
          <w:color w:val="auto"/>
          <w:sz w:val="24"/>
          <w:szCs w:val="24"/>
          <w:highlight w:val="none"/>
          <w:lang w:val="en-US" w:eastAsia="zh-CN"/>
        </w:rPr>
        <w:t>加工、</w:t>
      </w:r>
      <w:r>
        <w:rPr>
          <w:rFonts w:hint="eastAsia" w:ascii="宋体" w:hAnsi="宋体" w:eastAsia="宋体" w:cs="宋体"/>
          <w:color w:val="auto"/>
          <w:sz w:val="24"/>
          <w:szCs w:val="24"/>
          <w:highlight w:val="none"/>
        </w:rPr>
        <w:t>售后服务、风险、税金、招标代理服务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税费费等</w:t>
      </w:r>
      <w:r>
        <w:rPr>
          <w:rFonts w:hint="eastAsia" w:ascii="宋体" w:hAnsi="宋体" w:eastAsia="宋体" w:cs="宋体"/>
          <w:color w:val="auto"/>
          <w:sz w:val="24"/>
          <w:szCs w:val="24"/>
          <w:highlight w:val="none"/>
          <w:lang w:val="en-US" w:eastAsia="zh-CN"/>
        </w:rPr>
        <w:t>完成本项目所需的一起费用。</w:t>
      </w:r>
    </w:p>
    <w:p>
      <w:pPr>
        <w:pStyle w:val="29"/>
        <w:wordWrap w:val="0"/>
        <w:topLinePunct/>
        <w:adjustRightInd/>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4.本合同执行期间甲方无须另向乙方支付本合同规定之外的其他任何费用。</w:t>
      </w:r>
    </w:p>
    <w:p>
      <w:pPr>
        <w:keepNext/>
        <w:keepLines/>
        <w:pageBreakBefore w:val="0"/>
        <w:widowControl w:val="0"/>
        <w:kinsoku/>
        <w:wordWrap/>
        <w:overflowPunct/>
        <w:topLinePunct w:val="0"/>
        <w:bidi w:val="0"/>
        <w:snapToGrid/>
        <w:spacing w:before="0" w:after="0" w:line="440" w:lineRule="exact"/>
        <w:ind w:firstLine="482" w:firstLineChars="200"/>
        <w:jc w:val="both"/>
        <w:textAlignment w:val="auto"/>
        <w:outlineLvl w:val="1"/>
        <w:rPr>
          <w:rFonts w:hint="eastAsia" w:ascii="宋体" w:hAnsi="宋体" w:eastAsia="宋体" w:cs="宋体"/>
          <w:b/>
          <w:bCs/>
          <w:color w:val="auto"/>
          <w:kern w:val="2"/>
          <w:sz w:val="24"/>
          <w:szCs w:val="24"/>
          <w:highlight w:val="none"/>
          <w:lang w:val="en-US" w:eastAsia="zh-CN" w:bidi="ar-SA"/>
        </w:rPr>
      </w:pPr>
      <w:bookmarkStart w:id="1202" w:name="_Toc217446110"/>
      <w:bookmarkStart w:id="1203" w:name="_Toc10506"/>
      <w:bookmarkStart w:id="1204" w:name="_Toc4798"/>
      <w:r>
        <w:rPr>
          <w:rFonts w:hint="eastAsia" w:ascii="宋体" w:hAnsi="宋体" w:eastAsia="宋体" w:cs="宋体"/>
          <w:b/>
          <w:bCs/>
          <w:color w:val="auto"/>
          <w:kern w:val="2"/>
          <w:sz w:val="24"/>
          <w:szCs w:val="24"/>
          <w:highlight w:val="none"/>
          <w:lang w:val="en-US" w:eastAsia="zh-CN" w:bidi="ar-SA"/>
        </w:rPr>
        <w:t>三、</w:t>
      </w:r>
      <w:bookmarkEnd w:id="1202"/>
      <w:r>
        <w:rPr>
          <w:rFonts w:hint="eastAsia" w:ascii="宋体" w:hAnsi="宋体" w:eastAsia="宋体" w:cs="宋体"/>
          <w:b/>
          <w:bCs/>
          <w:color w:val="auto"/>
          <w:kern w:val="2"/>
          <w:sz w:val="24"/>
          <w:szCs w:val="24"/>
          <w:highlight w:val="none"/>
          <w:lang w:val="en-US" w:eastAsia="zh-CN" w:bidi="ar-SA"/>
        </w:rPr>
        <w:t>项目技术参数要求</w:t>
      </w:r>
      <w:bookmarkEnd w:id="1203"/>
      <w:bookmarkEnd w:id="1204"/>
    </w:p>
    <w:p>
      <w:pPr>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所提供的图书品种应当符合中华人民共和国相关的出版发行法律法规的规定，确保不提供非法出版物。如发现提供非法出版物，一经查实，该</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除该负社会和法律责任外，还须支付</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购买该种图书总码洋10倍的违约金，同时</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有权终止合同。</w:t>
      </w:r>
    </w:p>
    <w:p>
      <w:pPr>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图书类型</w:t>
      </w:r>
      <w:r>
        <w:rPr>
          <w:rFonts w:hint="eastAsia" w:ascii="宋体" w:hAnsi="宋体" w:eastAsia="宋体" w:cs="宋体"/>
          <w:color w:val="auto"/>
          <w:sz w:val="24"/>
          <w:szCs w:val="24"/>
          <w:highlight w:val="none"/>
          <w:lang w:val="en-US" w:eastAsia="zh-CN"/>
        </w:rPr>
        <w:t>及年限要求</w:t>
      </w:r>
    </w:p>
    <w:p>
      <w:pPr>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eastAsia="zh-CN"/>
        </w:rPr>
        <w:t>2019年1月1日(含1日)</w:t>
      </w:r>
      <w:r>
        <w:rPr>
          <w:rFonts w:hint="eastAsia" w:ascii="宋体" w:hAnsi="宋体" w:eastAsia="宋体" w:cs="宋体"/>
          <w:color w:val="auto"/>
          <w:sz w:val="24"/>
          <w:szCs w:val="24"/>
          <w:highlight w:val="none"/>
          <w:lang w:val="en-US" w:eastAsia="zh-CN"/>
        </w:rPr>
        <w:t>以来</w:t>
      </w:r>
      <w:r>
        <w:rPr>
          <w:rFonts w:hint="eastAsia" w:ascii="宋体" w:hAnsi="宋体" w:eastAsia="宋体" w:cs="宋体"/>
          <w:color w:val="auto"/>
          <w:sz w:val="24"/>
          <w:szCs w:val="24"/>
          <w:highlight w:val="none"/>
        </w:rPr>
        <w:t>国内出版</w:t>
      </w:r>
      <w:r>
        <w:rPr>
          <w:rFonts w:hint="eastAsia" w:ascii="宋体" w:hAnsi="宋体" w:eastAsia="宋体" w:cs="宋体"/>
          <w:color w:val="auto"/>
          <w:sz w:val="24"/>
          <w:szCs w:val="24"/>
          <w:highlight w:val="none"/>
          <w:lang w:eastAsia="zh-CN"/>
        </w:rPr>
        <w:t>，适用专业书出版年限可在</w:t>
      </w:r>
      <w:r>
        <w:rPr>
          <w:rFonts w:hint="eastAsia" w:ascii="宋体" w:hAnsi="宋体" w:eastAsia="宋体" w:cs="宋体"/>
          <w:color w:val="auto"/>
          <w:sz w:val="24"/>
          <w:szCs w:val="24"/>
          <w:highlight w:val="none"/>
        </w:rPr>
        <w:t>2019年以前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占比不超过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出版的中文图书正式出版物。</w:t>
      </w:r>
    </w:p>
    <w:p>
      <w:pPr>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本次采购的专业类图书主要是非教材正版专业图书，</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提供的非教材正版专业图书要适用于</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现有专业，专业目录详见</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校园网招生简章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链接地址：http://zsx.cdgmxy.com/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严格按照采购计划图书范围和数量配书，保证</w:t>
      </w:r>
      <w:r>
        <w:rPr>
          <w:rFonts w:hint="eastAsia" w:ascii="宋体" w:hAnsi="宋体" w:eastAsia="宋体" w:cs="宋体"/>
          <w:color w:val="auto"/>
          <w:sz w:val="24"/>
          <w:szCs w:val="24"/>
          <w:highlight w:val="none"/>
          <w:lang w:eastAsia="zh-CN"/>
        </w:rPr>
        <w:t>专业图书类型采购计划</w:t>
      </w:r>
      <w:r>
        <w:rPr>
          <w:rFonts w:hint="eastAsia" w:ascii="宋体" w:hAnsi="宋体" w:eastAsia="宋体" w:cs="宋体"/>
          <w:color w:val="auto"/>
          <w:sz w:val="24"/>
          <w:szCs w:val="24"/>
          <w:highlight w:val="none"/>
        </w:rPr>
        <w:t>到货率不低于9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9"/>
        <w:gridCol w:w="1670"/>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专业图书类型采购计划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4"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图书类型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最新出版</w:t>
            </w:r>
            <w:r>
              <w:rPr>
                <w:rFonts w:hint="eastAsia" w:ascii="宋体" w:hAnsi="宋体" w:eastAsia="宋体" w:cs="宋体"/>
                <w:color w:val="auto"/>
                <w:sz w:val="21"/>
                <w:szCs w:val="21"/>
                <w:highlight w:val="none"/>
                <w:lang w:eastAsia="zh-CN"/>
              </w:rPr>
              <w:t>)</w:t>
            </w:r>
          </w:p>
        </w:tc>
        <w:tc>
          <w:tcPr>
            <w:tcW w:w="838"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667"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计划册数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册</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4"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电气自动化、工业机器人技术</w:t>
            </w:r>
          </w:p>
        </w:tc>
        <w:tc>
          <w:tcPr>
            <w:tcW w:w="838"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T类</w:t>
            </w:r>
          </w:p>
        </w:tc>
        <w:tc>
          <w:tcPr>
            <w:tcW w:w="1667"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4"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材料成型与控制技术</w:t>
            </w:r>
          </w:p>
        </w:tc>
        <w:tc>
          <w:tcPr>
            <w:tcW w:w="838"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T类</w:t>
            </w:r>
          </w:p>
        </w:tc>
        <w:tc>
          <w:tcPr>
            <w:tcW w:w="1667"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4"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数控、3D打印、焊接机械类</w:t>
            </w:r>
          </w:p>
        </w:tc>
        <w:tc>
          <w:tcPr>
            <w:tcW w:w="838"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T类</w:t>
            </w:r>
          </w:p>
        </w:tc>
        <w:tc>
          <w:tcPr>
            <w:tcW w:w="1667"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4"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智能制造、航空发动机技术</w:t>
            </w:r>
          </w:p>
        </w:tc>
        <w:tc>
          <w:tcPr>
            <w:tcW w:w="838"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T类、V类</w:t>
            </w:r>
          </w:p>
        </w:tc>
        <w:tc>
          <w:tcPr>
            <w:tcW w:w="1667"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4"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物联网技术、计算机技术、网络技术、数字媒体技术、信息安全技术</w:t>
            </w:r>
          </w:p>
        </w:tc>
        <w:tc>
          <w:tcPr>
            <w:tcW w:w="838"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TN类、TP类</w:t>
            </w:r>
          </w:p>
        </w:tc>
        <w:tc>
          <w:tcPr>
            <w:tcW w:w="1667"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4"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建筑智能化工程技术、楼宇自动化</w:t>
            </w:r>
          </w:p>
        </w:tc>
        <w:tc>
          <w:tcPr>
            <w:tcW w:w="838"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U类</w:t>
            </w:r>
          </w:p>
        </w:tc>
        <w:tc>
          <w:tcPr>
            <w:tcW w:w="1667"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4"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机电一体化技术</w:t>
            </w:r>
          </w:p>
        </w:tc>
        <w:tc>
          <w:tcPr>
            <w:tcW w:w="838"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T类</w:t>
            </w:r>
          </w:p>
        </w:tc>
        <w:tc>
          <w:tcPr>
            <w:tcW w:w="1667"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4"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应用电子技术</w:t>
            </w:r>
          </w:p>
        </w:tc>
        <w:tc>
          <w:tcPr>
            <w:tcW w:w="838"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T类</w:t>
            </w:r>
          </w:p>
        </w:tc>
        <w:tc>
          <w:tcPr>
            <w:tcW w:w="1667"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4"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铁路桥梁与隧道工程技术、铁道工程技术、工程测量技术</w:t>
            </w:r>
          </w:p>
        </w:tc>
        <w:tc>
          <w:tcPr>
            <w:tcW w:w="838"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U类</w:t>
            </w:r>
          </w:p>
        </w:tc>
        <w:tc>
          <w:tcPr>
            <w:tcW w:w="1667"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4"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高铁综合维修技术</w:t>
            </w:r>
          </w:p>
        </w:tc>
        <w:tc>
          <w:tcPr>
            <w:tcW w:w="838"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U类</w:t>
            </w:r>
          </w:p>
        </w:tc>
        <w:tc>
          <w:tcPr>
            <w:tcW w:w="1667"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4"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城市轨道交通机电技术、交通通信信号技术、运营与服务</w:t>
            </w:r>
          </w:p>
        </w:tc>
        <w:tc>
          <w:tcPr>
            <w:tcW w:w="838"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U类</w:t>
            </w:r>
          </w:p>
        </w:tc>
        <w:tc>
          <w:tcPr>
            <w:tcW w:w="1667"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4"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幼儿教育、幼儿发展与健康管理、管理、财务、贸易</w:t>
            </w:r>
          </w:p>
        </w:tc>
        <w:tc>
          <w:tcPr>
            <w:tcW w:w="838"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G类、R类</w:t>
            </w:r>
          </w:p>
        </w:tc>
        <w:tc>
          <w:tcPr>
            <w:tcW w:w="1667"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4"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采购与供应链管理、航空物流</w:t>
            </w:r>
          </w:p>
        </w:tc>
        <w:tc>
          <w:tcPr>
            <w:tcW w:w="838"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F类</w:t>
            </w:r>
          </w:p>
        </w:tc>
        <w:tc>
          <w:tcPr>
            <w:tcW w:w="1667"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4"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国际商务、电子商务、电商直播</w:t>
            </w:r>
          </w:p>
        </w:tc>
        <w:tc>
          <w:tcPr>
            <w:tcW w:w="838"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F类</w:t>
            </w:r>
          </w:p>
        </w:tc>
        <w:tc>
          <w:tcPr>
            <w:tcW w:w="1667"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4"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新能源汽车技术、汽车维修与养护、汽车智能技术、车联网技术</w:t>
            </w:r>
          </w:p>
        </w:tc>
        <w:tc>
          <w:tcPr>
            <w:tcW w:w="838"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 类</w:t>
            </w:r>
          </w:p>
        </w:tc>
        <w:tc>
          <w:tcPr>
            <w:tcW w:w="1667" w:type="pct"/>
            <w:vAlign w:val="center"/>
          </w:tcPr>
          <w:p>
            <w:pPr>
              <w:keepNext w:val="0"/>
              <w:keepLines w:val="0"/>
              <w:pageBreakBefore w:val="0"/>
              <w:widowControl w:val="0"/>
              <w:kinsoku/>
              <w:wordWrap w:val="0"/>
              <w:overflowPunct/>
              <w:topLinePunct w:val="0"/>
              <w:autoSpaceDE w:val="0"/>
              <w:autoSpaceDN w:val="0"/>
              <w:bidi w:val="0"/>
              <w:adjustRightInd w:val="0"/>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000</w:t>
            </w:r>
          </w:p>
        </w:tc>
      </w:tr>
    </w:tbl>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文史通识类图书主要提供包括</w:t>
      </w:r>
      <w:r>
        <w:rPr>
          <w:rFonts w:hint="eastAsia" w:ascii="宋体" w:hAnsi="宋体" w:eastAsia="宋体" w:cs="宋体"/>
          <w:color w:val="auto"/>
          <w:sz w:val="24"/>
          <w:szCs w:val="24"/>
          <w:highlight w:val="none"/>
          <w:lang w:eastAsia="zh-CN"/>
        </w:rPr>
        <w:t>教学管理、专业建设、课程</w:t>
      </w:r>
      <w:r>
        <w:rPr>
          <w:rFonts w:hint="eastAsia" w:ascii="宋体" w:hAnsi="宋体" w:eastAsia="宋体" w:cs="宋体"/>
          <w:color w:val="auto"/>
          <w:sz w:val="24"/>
          <w:szCs w:val="24"/>
          <w:highlight w:val="none"/>
        </w:rPr>
        <w:t>思政、</w:t>
      </w:r>
      <w:r>
        <w:rPr>
          <w:rFonts w:hint="eastAsia" w:ascii="宋体" w:hAnsi="宋体" w:eastAsia="宋体" w:cs="宋体"/>
          <w:color w:val="auto"/>
          <w:sz w:val="24"/>
          <w:szCs w:val="24"/>
          <w:highlight w:val="none"/>
          <w:lang w:eastAsia="zh-CN"/>
        </w:rPr>
        <w:t>党史类、</w:t>
      </w:r>
      <w:r>
        <w:rPr>
          <w:rFonts w:hint="eastAsia" w:ascii="宋体" w:hAnsi="宋体" w:eastAsia="宋体" w:cs="宋体"/>
          <w:color w:val="auto"/>
          <w:sz w:val="24"/>
          <w:szCs w:val="24"/>
          <w:highlight w:val="none"/>
        </w:rPr>
        <w:t>公共基础课、心理学、职业教育、文学、历史、科普等通识类</w:t>
      </w:r>
      <w:r>
        <w:rPr>
          <w:rFonts w:hint="eastAsia" w:ascii="宋体" w:hAnsi="宋体" w:eastAsia="宋体" w:cs="宋体"/>
          <w:color w:val="auto"/>
          <w:sz w:val="24"/>
          <w:szCs w:val="24"/>
          <w:highlight w:val="none"/>
          <w:lang w:eastAsia="zh-CN"/>
        </w:rPr>
        <w:t>畅销</w:t>
      </w:r>
      <w:r>
        <w:rPr>
          <w:rFonts w:hint="eastAsia" w:ascii="宋体" w:hAnsi="宋体" w:eastAsia="宋体" w:cs="宋体"/>
          <w:color w:val="auto"/>
          <w:sz w:val="24"/>
          <w:szCs w:val="24"/>
          <w:highlight w:val="none"/>
        </w:rPr>
        <w:t>图书。</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每个品种图书供应册数为2册，除经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单独要求增加复本数的图书除外。</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3、书目及订单提交</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3.1书目提交时间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乙方在合同签订后的5日历天内提第一批新书书目，此后合同期内每两周向甲方提供机械工业出版社、电子工业出版社、人民交通出版社、中国铁道出版社等2020年新书目录，书目不得与甲方馆藏书目重复，甲方每批订单选定后，乙方须在收到甲方确定清单后，3个日历天内反馈配货情况，汇总确认订单配送比例不低于95%。</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乙方提供图书电子版书目质量要求。乙方应提供和甲方需求专业相匹配、符合大学及以上读者的阅读需求，2019年1月1日(含1日)以后出版的最新书目，书目精选出版市场专业前沿畅销的优质图书。同时，受理甲方依据其他来源发送的图书订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3.1.3乙方在处理订单时，有下列情况之一，要以电子邮件形式征询甲方意见：实际书价超出订单书价的15％、图书(单本单价)100 元以上且复本在2 册以上的须甲方确认是否采购。若ISBN 或书名与预订单不一致，或采访数据中书名及价格(差价过大)与实洋不符合，甲方有权拒收。若订单载体不清楚，或以光盘、磁带等为主要载体的非纸质载体的资料，甲方有权拒收。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3.1.4. 乙方在提供连续出版、多卷(集)图书时，同时需提供全面信息，包括总题名、分题名、总书号、分册书号、全书价格、分册价格等，1000 元/套以上的，还要提供该书出版情况的全面介绍。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3.1.5.双方确定订单后乙方须严格按照订单供货。图书配送到馆后第二个工作日内，将对应的书目数据包(CNMARC)以及对应的书目数据电子清单(excel 表格)发送至指定邮箱，数据配送率达到100%。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3.1.6.乙方不得更换图书订单，不得搭配非甲方订购的图书。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4.图书质量要求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4.1图书定价须正规渠道正规定价，不得出现不实定价。若有同版本同印次图书价格虚高的，一经查出甲方有权拒付乙方所有书款并终止合同。</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图书的印刷质量要符合《中华人民共和国产品质量法》及新闻出版总署公布的自2005年3月1日起施行的《图书质量管理规定》相关规定。乙方保证图书进货质量，提供的图书都是从国家正规出版社订购合法出版物。乙方所供图书出现开胶、缺页、倒装、</w:t>
      </w:r>
      <w:r>
        <w:rPr>
          <w:rFonts w:hint="eastAsia" w:ascii="宋体" w:hAnsi="宋体" w:eastAsia="宋体" w:cs="宋体"/>
          <w:color w:val="auto"/>
          <w:kern w:val="0"/>
          <w:sz w:val="24"/>
          <w:szCs w:val="24"/>
          <w:highlight w:val="none"/>
          <w:lang w:val="en-US" w:eastAsia="zh-CN"/>
        </w:rPr>
        <w:t>残页、污损</w:t>
      </w:r>
      <w:r>
        <w:rPr>
          <w:rFonts w:hint="eastAsia" w:ascii="宋体" w:hAnsi="宋体" w:eastAsia="宋体" w:cs="宋体"/>
          <w:color w:val="auto"/>
          <w:sz w:val="24"/>
          <w:szCs w:val="24"/>
          <w:highlight w:val="none"/>
          <w:lang w:val="en-US" w:eastAsia="zh-CN"/>
        </w:rPr>
        <w:t>等质量问题，须在收到甲方通知后的三个工作日内免费调换。</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5.图书编目加工要求</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5.1编目数据遵循《中国图书分类法第五版》和《专著出版物国际标准书目著录》(ISBD，CALIS数据标准)。承诺按照标准的CN  MARC格式提供所购图书的编目数据(数据要求参见《中国机读目录格式使用手册》、《CALIS联机合作编目手册》)，ISBN、书名、卷册名、版本、丛书名、著者、译者、出版社、出版时间、定价、分类号、读者对象、内容简介、开本、页码、装帧、必备字段各字段格式说明：ISBN：须提供13 位或10 位数字，带杠。例如，978-7-5446-1007-0 或7-80101-977-6。</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版本：须采用的格式为“01 版”、“02 版”…“20 版”、“修订版”。</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5.2乙方所提供的数据能在甲方图书管理系统无障碍使用，并要求按甲方要求提供馆藏数据制作。编目数据应与图书同步或提前到馆，并达到100%的覆盖率。</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5.3乙方必须将所有图书编目加工完毕后送到甲方指定地点，甲方只提供图书存放场地。</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加工材料要求：乙方负责提供查重、编目、著录、贴磁条、盖馆藏章等加工服务。(1)条码：采用进口艾利纸、半树半蜡型碳带，Code128码打印；规格：48mm×18mm；打印字体：宋体、加粗、10号；(2)书标：每册书贴两个书标，书名页一个，书脊一个；采用进口艾利纸，激光打印机打印；规格：40mm×30mm；打印字体：宋体、加粗、16号；(3)书标保护膜：采用透明胶带；规格：38mm宽，粘性强，透明度高；(4)图书馆藏章印油。得力牌快干清洁印油。(5)磁条：钴基复合双面胶磁条，可充、消磁，规格：16cm。(6)RFID 磁条型号为XCTF8102B 型，磁条粘贴在不确定页缝。粘贴位置应在距离图书上端5cm 左右，磁条天线朝书脊方向。(7)光盘：编目加工应完成随时光盘的编目加工，并在编目数据里注明。光盘须从图书中取出，盘面须贴对应图书的索书号标签，集中装入光盘盒，形成光盘电子表格清单，和该批次图书同时送货。(8)加工要求：书标的粘贴：书名页的书标贴于书名页上方1/3处(不遮挡文字)，书标与书名页上方边缘间隔5mm；书脊的书标右边缘与书脊下边缘齐平，索书号部分处于书脊面正中，贴好后，用透明胶布覆盖整个书标进行固定，带包装的图书，其书本身和包装上均要贴书标。馆藏章3枚，书名页空白处一个，书口一个，书尾页一个。尽量盖在页面空白处。</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实施团队及技术人员要求：乙方须配备具有专业技术能力人员，编目专业技术人员队伍应有国家图书馆编目员上岗证书，专业技术人员不少于5人。保证图书采购、编目加工、上架等有序进行。图书及加工质量等方面的有问题时，乙方应在收到甲方的通知后2小时内响应。</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图书的纸质清单要随书送达，每包图书要有编号，包内附2份清单。每批图书要有2份总清单(随该批图书同时到达)，总清单内标明每种图书所在的包号。同种图书必须同一批到馆，并放在同一个包内。电子清单应在配货时同时发送(电子清单的格式除包含纸质清单的内容，还需增加“折扣”和“实洋”)。</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每包图书的种册数、金额必须与对应的清单相符。每批图书种册数、总价必须与总清单相符。如果在验收过程中，同一批次图书出现5%与甲方确认的清单不符，甲方有权退回该批次全部图书，乙方须在5个工作日内日完成补充送货，逾期或者不能按要求提供图书的则视为乙方违约。</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以下图书为甲方馆配不需要的：磁带、64开本(含64开)、卷式、卡片、册式、小32开本、挂图、少儿、中小学、试卷散页等，以上各种图书即使在订购单中误订，也需要乙方剔除。非甲方所设专业类别、专业性很强的学术专著有误订的，乙方有权拒收。</w:t>
      </w:r>
    </w:p>
    <w:p>
      <w:pPr>
        <w:keepNext w:val="0"/>
        <w:keepLines w:val="0"/>
        <w:pageBreakBefore w:val="0"/>
        <w:widowControl w:val="0"/>
        <w:kinsoku/>
        <w:wordWrap/>
        <w:overflowPunct/>
        <w:topLinePunct w:val="0"/>
        <w:bidi w:val="0"/>
        <w:adjustRightInd w:val="0"/>
        <w:snapToGrid/>
        <w:spacing w:line="440" w:lineRule="exact"/>
        <w:ind w:firstLine="482" w:firstLineChars="200"/>
        <w:jc w:val="both"/>
        <w:textAlignment w:val="auto"/>
        <w:outlineLvl w:val="1"/>
        <w:rPr>
          <w:rFonts w:hint="eastAsia" w:ascii="宋体" w:hAnsi="宋体" w:eastAsia="宋体" w:cs="宋体"/>
          <w:b/>
          <w:bCs/>
          <w:color w:val="auto"/>
          <w:kern w:val="2"/>
          <w:sz w:val="24"/>
          <w:szCs w:val="24"/>
          <w:highlight w:val="none"/>
          <w:lang w:val="en-US" w:eastAsia="zh-CN" w:bidi="ar-SA"/>
        </w:rPr>
      </w:pPr>
      <w:bookmarkStart w:id="1205" w:name="_Toc217446111"/>
      <w:bookmarkStart w:id="1206" w:name="_Toc584"/>
      <w:bookmarkStart w:id="1207" w:name="_Toc31489"/>
      <w:r>
        <w:rPr>
          <w:rFonts w:hint="eastAsia" w:ascii="宋体" w:hAnsi="宋体" w:eastAsia="宋体" w:cs="宋体"/>
          <w:b/>
          <w:bCs/>
          <w:color w:val="auto"/>
          <w:kern w:val="2"/>
          <w:sz w:val="24"/>
          <w:szCs w:val="24"/>
          <w:highlight w:val="none"/>
          <w:lang w:val="en-US" w:eastAsia="zh-CN" w:bidi="ar-SA"/>
        </w:rPr>
        <w:t>四、</w:t>
      </w:r>
      <w:bookmarkEnd w:id="1205"/>
      <w:r>
        <w:rPr>
          <w:rFonts w:hint="eastAsia" w:ascii="宋体" w:hAnsi="宋体" w:eastAsia="宋体" w:cs="宋体"/>
          <w:b/>
          <w:bCs/>
          <w:color w:val="auto"/>
          <w:kern w:val="2"/>
          <w:sz w:val="24"/>
          <w:szCs w:val="24"/>
          <w:highlight w:val="none"/>
          <w:lang w:val="en-US" w:eastAsia="zh-CN" w:bidi="ar-SA"/>
        </w:rPr>
        <w:t>包装、运输要求</w:t>
      </w:r>
      <w:bookmarkEnd w:id="1206"/>
      <w:bookmarkEnd w:id="1207"/>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乙方为本项目实施涉及的商品包装和快递包装，均符合财政部等三部门联合印发商品包装和快递包装政府采购需求标准(试行)(财办库[2020]123号)的要求。(投标人须在其他投标文件中单独对本项要求以承诺函的形式作出响应，格式自拟)。交货时乙方所送图书按牛皮纸打包并标明包号。包装应足以承受整个过程中的运输、转运、装卸、储存等，充分考虑到运输途中的各种情况(如暴露于恶劣气候等)和项目所在地的气候特点，以及露天存放的需要。专人负责送书到图书馆，并负责人工搬运入库(包括上架、移库)。</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2.包装必须适合运输方式，包装费用和运输过程所有费用均由乙方负责；由于不适当的包装而造成图书在运输过程中有任何损坏由乙方负责承担相应费用及损失。</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3.乙方在送货时应提供该批图书的编目数据、详细电子清单和纸质清单。在图书打包时，应在随包清单中准确注明图书书号、名称、数量、单价、出版日期、复本、码洋、折扣和实洋等信息。投标单位运送图书时应尽可能集中并须提前与甲方联系，以便工作人员接收和清点。</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4.图书送货要求：</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4.1快速响应承诺。乙方在接到确认的订单后应及时组织落实书源，在5个工作日内对确认的订单落实情况进行反馈。</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4.2送货周期承诺。合同签订后乙方应立即按照甲方提出第一批自选书目，承诺30天内完成到校，其后每批次订单自确认之日起30天内完成送货。经确认后的总订单到货率不低于95%。</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4.3乙方必须按时、保质、保量地送货上门，并协助工作人员清点验收，每批次图书验收完毕后一周内完成上架。乙方须承担从出版社及其发行网点进货以及送货上门的一切费用。</w:t>
      </w:r>
      <w:bookmarkStart w:id="1208" w:name="_Toc217446112"/>
    </w:p>
    <w:p>
      <w:pPr>
        <w:keepNext w:val="0"/>
        <w:keepLines w:val="0"/>
        <w:pageBreakBefore w:val="0"/>
        <w:widowControl w:val="0"/>
        <w:kinsoku/>
        <w:wordWrap/>
        <w:overflowPunct/>
        <w:topLinePunct w:val="0"/>
        <w:bidi w:val="0"/>
        <w:adjustRightInd w:val="0"/>
        <w:snapToGrid/>
        <w:spacing w:line="440" w:lineRule="exact"/>
        <w:ind w:firstLine="482" w:firstLineChars="200"/>
        <w:jc w:val="both"/>
        <w:textAlignment w:val="auto"/>
        <w:outlineLvl w:val="1"/>
        <w:rPr>
          <w:rFonts w:hint="eastAsia" w:ascii="宋体" w:hAnsi="宋体" w:eastAsia="宋体" w:cs="宋体"/>
          <w:b/>
          <w:bCs/>
          <w:color w:val="auto"/>
          <w:kern w:val="2"/>
          <w:sz w:val="24"/>
          <w:szCs w:val="24"/>
          <w:highlight w:val="none"/>
          <w:lang w:val="en-US" w:eastAsia="zh-CN" w:bidi="ar-SA"/>
        </w:rPr>
      </w:pPr>
      <w:bookmarkStart w:id="1209" w:name="_Toc14724"/>
      <w:r>
        <w:rPr>
          <w:rFonts w:hint="eastAsia" w:ascii="宋体" w:hAnsi="宋体" w:eastAsia="宋体" w:cs="宋体"/>
          <w:b/>
          <w:bCs/>
          <w:color w:val="auto"/>
          <w:kern w:val="2"/>
          <w:sz w:val="24"/>
          <w:szCs w:val="24"/>
          <w:highlight w:val="none"/>
          <w:lang w:val="en-US" w:eastAsia="zh-CN" w:bidi="ar-SA"/>
        </w:rPr>
        <w:t>五、</w:t>
      </w:r>
      <w:bookmarkEnd w:id="1208"/>
      <w:r>
        <w:rPr>
          <w:rFonts w:hint="eastAsia" w:ascii="宋体" w:hAnsi="宋体" w:eastAsia="宋体" w:cs="宋体"/>
          <w:b/>
          <w:bCs/>
          <w:color w:val="auto"/>
          <w:kern w:val="2"/>
          <w:sz w:val="24"/>
          <w:szCs w:val="24"/>
          <w:highlight w:val="none"/>
          <w:lang w:val="en-US" w:eastAsia="zh-CN" w:bidi="ar-SA"/>
        </w:rPr>
        <w:t>质量及供货渠道要求</w:t>
      </w:r>
      <w:bookmarkEnd w:id="1209"/>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1.质保：整体质保两年。</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2.质量及供货渠道：乙方所供图书若存在质量瑕疵，乙方应无条件负责退换。退、换书过程产生的相关费用由乙方承担。</w:t>
      </w:r>
    </w:p>
    <w:p>
      <w:pPr>
        <w:keepNext w:val="0"/>
        <w:keepLines w:val="0"/>
        <w:pageBreakBefore w:val="0"/>
        <w:widowControl w:val="0"/>
        <w:kinsoku/>
        <w:wordWrap/>
        <w:overflowPunct/>
        <w:topLinePunct w:val="0"/>
        <w:bidi w:val="0"/>
        <w:adjustRightInd w:val="0"/>
        <w:snapToGrid/>
        <w:spacing w:line="440" w:lineRule="exact"/>
        <w:ind w:firstLine="482" w:firstLineChars="200"/>
        <w:jc w:val="both"/>
        <w:textAlignment w:val="auto"/>
        <w:outlineLvl w:val="1"/>
        <w:rPr>
          <w:rFonts w:hint="eastAsia" w:ascii="宋体" w:hAnsi="宋体" w:eastAsia="宋体" w:cs="宋体"/>
          <w:b/>
          <w:bCs/>
          <w:color w:val="auto"/>
          <w:kern w:val="2"/>
          <w:sz w:val="24"/>
          <w:szCs w:val="24"/>
          <w:highlight w:val="none"/>
          <w:lang w:val="en-US" w:eastAsia="zh-CN" w:bidi="ar-SA"/>
        </w:rPr>
      </w:pPr>
      <w:bookmarkStart w:id="1210" w:name="_Toc217446113"/>
      <w:bookmarkStart w:id="1211" w:name="_Toc10482"/>
      <w:bookmarkStart w:id="1212" w:name="_Toc217446114"/>
      <w:r>
        <w:rPr>
          <w:rFonts w:hint="eastAsia" w:ascii="宋体" w:hAnsi="宋体" w:eastAsia="宋体" w:cs="宋体"/>
          <w:b/>
          <w:bCs/>
          <w:color w:val="auto"/>
          <w:kern w:val="2"/>
          <w:sz w:val="24"/>
          <w:szCs w:val="24"/>
          <w:highlight w:val="none"/>
          <w:lang w:val="en-US" w:eastAsia="zh-CN" w:bidi="ar-SA"/>
        </w:rPr>
        <w:t>六、</w:t>
      </w:r>
      <w:bookmarkEnd w:id="1210"/>
      <w:r>
        <w:rPr>
          <w:rFonts w:hint="eastAsia" w:ascii="宋体" w:hAnsi="宋体" w:eastAsia="宋体" w:cs="宋体"/>
          <w:b/>
          <w:bCs/>
          <w:color w:val="auto"/>
          <w:kern w:val="2"/>
          <w:sz w:val="24"/>
          <w:szCs w:val="24"/>
          <w:highlight w:val="none"/>
          <w:lang w:val="en-US" w:eastAsia="zh-CN" w:bidi="ar-SA"/>
        </w:rPr>
        <w:t>安装调试要求</w:t>
      </w:r>
      <w:bookmarkEnd w:id="1211"/>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按甲方的要求上架到指定地点。</w:t>
      </w:r>
    </w:p>
    <w:p>
      <w:pPr>
        <w:keepNext w:val="0"/>
        <w:keepLines w:val="0"/>
        <w:pageBreakBefore w:val="0"/>
        <w:widowControl w:val="0"/>
        <w:kinsoku/>
        <w:wordWrap/>
        <w:overflowPunct/>
        <w:topLinePunct w:val="0"/>
        <w:bidi w:val="0"/>
        <w:adjustRightInd w:val="0"/>
        <w:snapToGrid/>
        <w:spacing w:line="440" w:lineRule="exact"/>
        <w:ind w:firstLine="482" w:firstLineChars="200"/>
        <w:jc w:val="both"/>
        <w:textAlignment w:val="auto"/>
        <w:outlineLvl w:val="1"/>
        <w:rPr>
          <w:rFonts w:hint="eastAsia" w:ascii="宋体" w:hAnsi="宋体" w:eastAsia="宋体" w:cs="宋体"/>
          <w:b/>
          <w:bCs/>
          <w:color w:val="auto"/>
          <w:kern w:val="2"/>
          <w:sz w:val="24"/>
          <w:szCs w:val="24"/>
          <w:highlight w:val="none"/>
          <w:lang w:val="en-US" w:eastAsia="zh-CN" w:bidi="ar-SA"/>
        </w:rPr>
      </w:pPr>
      <w:bookmarkStart w:id="1213" w:name="_Toc26417"/>
      <w:bookmarkStart w:id="1214" w:name="_Toc31300"/>
      <w:r>
        <w:rPr>
          <w:rFonts w:hint="eastAsia" w:ascii="宋体" w:hAnsi="宋体" w:eastAsia="宋体" w:cs="宋体"/>
          <w:b/>
          <w:bCs/>
          <w:color w:val="auto"/>
          <w:kern w:val="2"/>
          <w:sz w:val="24"/>
          <w:szCs w:val="24"/>
          <w:highlight w:val="none"/>
          <w:lang w:val="en-US" w:eastAsia="zh-CN" w:bidi="ar-SA"/>
        </w:rPr>
        <w:t>七、售后服务及要求</w:t>
      </w:r>
      <w:bookmarkEnd w:id="1213"/>
      <w:bookmarkEnd w:id="1214"/>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1.乙方提供详细的项目服务方案，包含但不限于硬件设备、管理制度、质量控制、时间进度控制、未来图书管理的拓展，售后服务方案等(签订合同时，甲方有权要求中标乙方对方案进行优化)。</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2.合同期内乙方负责完成上架伴随的图书整理服务，在上架过程中完成现有书架下架、腾空，图书按序调架、下架和搬运工作，并按要求放置至指定地点等(约8万册)的工作任务。</w:t>
      </w:r>
    </w:p>
    <w:p>
      <w:pPr>
        <w:keepNext w:val="0"/>
        <w:keepLines w:val="0"/>
        <w:pageBreakBefore w:val="0"/>
        <w:widowControl w:val="0"/>
        <w:kinsoku/>
        <w:wordWrap/>
        <w:overflowPunct/>
        <w:topLinePunct w:val="0"/>
        <w:bidi w:val="0"/>
        <w:adjustRightInd w:val="0"/>
        <w:snapToGrid/>
        <w:spacing w:line="440" w:lineRule="exact"/>
        <w:ind w:firstLine="482" w:firstLineChars="200"/>
        <w:jc w:val="both"/>
        <w:textAlignment w:val="auto"/>
        <w:outlineLvl w:val="1"/>
        <w:rPr>
          <w:rFonts w:hint="eastAsia" w:ascii="宋体" w:hAnsi="宋体" w:eastAsia="宋体" w:cs="宋体"/>
          <w:b/>
          <w:bCs/>
          <w:color w:val="auto"/>
          <w:kern w:val="2"/>
          <w:sz w:val="24"/>
          <w:szCs w:val="24"/>
          <w:highlight w:val="none"/>
          <w:lang w:val="en-US" w:eastAsia="zh-CN" w:bidi="ar-SA"/>
        </w:rPr>
      </w:pPr>
      <w:bookmarkStart w:id="1215" w:name="_Toc19634"/>
      <w:bookmarkStart w:id="1216" w:name="_Toc25353"/>
      <w:r>
        <w:rPr>
          <w:rFonts w:hint="eastAsia" w:ascii="宋体" w:hAnsi="宋体" w:eastAsia="宋体" w:cs="宋体"/>
          <w:b/>
          <w:bCs/>
          <w:color w:val="auto"/>
          <w:kern w:val="2"/>
          <w:sz w:val="24"/>
          <w:szCs w:val="24"/>
          <w:highlight w:val="none"/>
          <w:lang w:val="en-US" w:eastAsia="zh-CN" w:bidi="ar-SA"/>
        </w:rPr>
        <w:t>八、交货的时间</w:t>
      </w:r>
      <w:bookmarkEnd w:id="1215"/>
      <w:bookmarkEnd w:id="1216"/>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1.交货地址(详细地址)：</w:t>
      </w:r>
    </w:p>
    <w:p>
      <w:pPr>
        <w:pStyle w:val="2"/>
        <w:keepNext w:val="0"/>
        <w:keepLines w:val="0"/>
        <w:pageBreakBefore w:val="0"/>
        <w:widowControl w:val="0"/>
        <w:kinsoku/>
        <w:wordWrap/>
        <w:overflowPunct/>
        <w:topLinePunct w:val="0"/>
        <w:bidi w:val="0"/>
        <w:adjustRightInd w:val="0"/>
        <w:spacing w:after="0" w:afterLines="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履行合同的时间、地点及方式：自合同签订之日起至2020年12月31日(乙方在2021年6月30日前完成不少于80万实洋图书送货及验收；2021年9月30日前累计完成不少于120万实洋图书送货及验收；2021年10月30日前完成累计133万实洋图书送货及验收。)</w:t>
      </w:r>
    </w:p>
    <w:p>
      <w:pPr>
        <w:keepNext w:val="0"/>
        <w:keepLines w:val="0"/>
        <w:pageBreakBefore w:val="0"/>
        <w:widowControl w:val="0"/>
        <w:kinsoku/>
        <w:wordWrap/>
        <w:overflowPunct/>
        <w:topLinePunct w:val="0"/>
        <w:bidi w:val="0"/>
        <w:adjustRightInd w:val="0"/>
        <w:snapToGrid/>
        <w:spacing w:line="440" w:lineRule="exact"/>
        <w:ind w:firstLine="482" w:firstLineChars="200"/>
        <w:jc w:val="both"/>
        <w:textAlignment w:val="auto"/>
        <w:outlineLvl w:val="1"/>
        <w:rPr>
          <w:rFonts w:hint="eastAsia" w:ascii="宋体" w:hAnsi="宋体" w:eastAsia="宋体" w:cs="宋体"/>
          <w:b/>
          <w:bCs/>
          <w:color w:val="auto"/>
          <w:kern w:val="2"/>
          <w:sz w:val="24"/>
          <w:szCs w:val="24"/>
          <w:highlight w:val="none"/>
          <w:lang w:val="en-US" w:eastAsia="zh-CN" w:bidi="ar-SA"/>
        </w:rPr>
      </w:pPr>
      <w:bookmarkStart w:id="1217" w:name="_Toc5555"/>
      <w:bookmarkStart w:id="1218" w:name="_Toc30519"/>
      <w:r>
        <w:rPr>
          <w:rFonts w:hint="eastAsia" w:ascii="宋体" w:hAnsi="宋体" w:eastAsia="宋体" w:cs="宋体"/>
          <w:b/>
          <w:bCs/>
          <w:color w:val="auto"/>
          <w:kern w:val="2"/>
          <w:sz w:val="24"/>
          <w:szCs w:val="24"/>
          <w:highlight w:val="none"/>
          <w:lang w:val="en-US" w:eastAsia="zh-CN" w:bidi="ar-SA"/>
        </w:rPr>
        <w:t>九、合同价款支付方式和条件</w:t>
      </w:r>
      <w:bookmarkEnd w:id="1217"/>
      <w:bookmarkEnd w:id="1218"/>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1.按批次支付，每批次图书以实际验收合格的实洋金额[码洋金额×(1-</w:t>
      </w:r>
      <w:r>
        <w:rPr>
          <w:rFonts w:hint="eastAsia" w:ascii="宋体" w:hAnsi="宋体" w:eastAsia="宋体" w:cs="宋体"/>
          <w:color w:val="auto"/>
          <w:sz w:val="24"/>
          <w:szCs w:val="24"/>
          <w:highlight w:val="none"/>
          <w:u w:val="single"/>
          <w:lang w:val="en-US" w:eastAsia="zh-CN"/>
        </w:rPr>
        <w:t>下浮率</w:t>
      </w:r>
      <w:r>
        <w:rPr>
          <w:rFonts w:hint="eastAsia" w:ascii="宋体" w:hAnsi="宋体" w:eastAsia="宋体" w:cs="宋体"/>
          <w:color w:val="auto"/>
          <w:sz w:val="24"/>
          <w:szCs w:val="24"/>
          <w:highlight w:val="none"/>
          <w:lang w:val="en-US" w:eastAsia="zh-CN"/>
        </w:rPr>
        <w:t>)]支付，最终支付金额不超本项目采购预算(133万元)。</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2．结算程序：</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(1)对账：乙方完成当批次送货经甲方验收合格后，双方确认验收按实洋金额进行支付。</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(2)发票开具：乙方向甲方开具经双方确定的验收实洋金额的国家正式发票并附所购图书清单。</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(3)付款方式：每批次验收合格后且收到乙方的正式发票之日起，甲方在15日内以银行转账方式将图书款汇入乙方指定账户。</w:t>
      </w:r>
    </w:p>
    <w:p>
      <w:pPr>
        <w:keepNext w:val="0"/>
        <w:keepLines w:val="0"/>
        <w:pageBreakBefore w:val="0"/>
        <w:widowControl w:val="0"/>
        <w:kinsoku/>
        <w:wordWrap/>
        <w:overflowPunct/>
        <w:topLinePunct w:val="0"/>
        <w:bidi w:val="0"/>
        <w:adjustRightInd w:val="0"/>
        <w:snapToGrid/>
        <w:spacing w:line="440" w:lineRule="exact"/>
        <w:ind w:firstLine="482" w:firstLineChars="200"/>
        <w:jc w:val="both"/>
        <w:textAlignment w:val="auto"/>
        <w:outlineLvl w:val="1"/>
        <w:rPr>
          <w:rFonts w:hint="eastAsia" w:ascii="宋体" w:hAnsi="宋体" w:eastAsia="宋体" w:cs="宋体"/>
          <w:b/>
          <w:bCs/>
          <w:color w:val="auto"/>
          <w:kern w:val="2"/>
          <w:sz w:val="24"/>
          <w:szCs w:val="24"/>
          <w:highlight w:val="none"/>
          <w:lang w:val="en-US" w:eastAsia="zh-CN" w:bidi="ar-SA"/>
        </w:rPr>
      </w:pPr>
      <w:bookmarkStart w:id="1219" w:name="_Toc24897"/>
      <w:bookmarkStart w:id="1220" w:name="_Toc9988"/>
      <w:r>
        <w:rPr>
          <w:rFonts w:hint="eastAsia" w:ascii="宋体" w:hAnsi="宋体" w:eastAsia="宋体" w:cs="宋体"/>
          <w:b/>
          <w:bCs/>
          <w:color w:val="auto"/>
          <w:kern w:val="2"/>
          <w:sz w:val="24"/>
          <w:szCs w:val="24"/>
          <w:highlight w:val="none"/>
          <w:lang w:val="en-US" w:eastAsia="zh-CN" w:bidi="ar-SA"/>
        </w:rPr>
        <w:t>十、验收标准和方法</w:t>
      </w:r>
      <w:bookmarkEnd w:id="1219"/>
      <w:bookmarkEnd w:id="1220"/>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1.验收标准：按国家新闻出版总署公布的自2005年3月1日起施行的《图书质量管理规定》相关规定和采购文件的质量要求和技术指标进行验收。</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2.其他未尽事宜应参照《财政部关于进一步加强政府采购需求和履约验收管理的指导意见》(财库〔2016〕205 号)。</w:t>
      </w:r>
    </w:p>
    <w:p>
      <w:pPr>
        <w:keepNext w:val="0"/>
        <w:keepLines w:val="0"/>
        <w:pageBreakBefore w:val="0"/>
        <w:widowControl w:val="0"/>
        <w:kinsoku/>
        <w:wordWrap/>
        <w:overflowPunct/>
        <w:topLinePunct w:val="0"/>
        <w:bidi w:val="0"/>
        <w:adjustRightInd w:val="0"/>
        <w:snapToGrid/>
        <w:spacing w:line="440" w:lineRule="exact"/>
        <w:ind w:firstLine="482" w:firstLineChars="200"/>
        <w:jc w:val="both"/>
        <w:textAlignment w:val="auto"/>
        <w:outlineLvl w:val="1"/>
        <w:rPr>
          <w:rFonts w:hint="eastAsia" w:ascii="宋体" w:hAnsi="宋体" w:eastAsia="宋体" w:cs="宋体"/>
          <w:b/>
          <w:bCs/>
          <w:color w:val="auto"/>
          <w:kern w:val="2"/>
          <w:sz w:val="24"/>
          <w:szCs w:val="24"/>
          <w:highlight w:val="none"/>
          <w:lang w:val="en-US" w:eastAsia="zh-CN" w:bidi="ar-SA"/>
        </w:rPr>
      </w:pPr>
      <w:bookmarkStart w:id="1221" w:name="_Toc13908"/>
      <w:bookmarkStart w:id="1222" w:name="_Toc26247"/>
      <w:r>
        <w:rPr>
          <w:rFonts w:hint="eastAsia" w:ascii="宋体" w:hAnsi="宋体" w:eastAsia="宋体" w:cs="宋体"/>
          <w:b/>
          <w:bCs/>
          <w:color w:val="auto"/>
          <w:kern w:val="2"/>
          <w:sz w:val="24"/>
          <w:szCs w:val="24"/>
          <w:highlight w:val="none"/>
          <w:lang w:val="en-US" w:eastAsia="zh-CN" w:bidi="ar-SA"/>
        </w:rPr>
        <w:t>十一、违约责任</w:t>
      </w:r>
      <w:bookmarkEnd w:id="1221"/>
      <w:bookmarkEnd w:id="1222"/>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1.甲方违约责任</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甲方逾期支付货款的，除应及时付足货款外，应向乙方偿付欠款总额万分之五/天的违约金，逾期付款超过30日历天的，乙方有权终止合同，但非甲方原因导致付款超过30日历天的，乙方不得终止合同。</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2.乙方违约责任</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2.1乙方未按招标文件和乙方的响应文件约定的时间及要求按时提供书目和反馈订单信息，乙方应向甲方支付1万元/天的违约金。逾期超过5天甲方有权终止合同，同时乙方还须向甲方支付20万元的违约金。</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2.2乙方未按甲方要求的时间送货，应向甲方支付1万元/天的违约金，逾期超过10天甲方有权终止合同，同时乙方还须向甲方支付20万元的违约金。</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2.3乙方未按甲方要求进行编目加工和上架的，应向甲方支付5万元/次的违约金，3日内未完成整改的甲方有权终止合同，同时乙方还须向甲方支付20万元的违约金。</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2.4乙方提供的图书有知识产权纠纷，应退还甲方支付的所有费用，并向甲方支付20万的违约金。</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2.5乙方未按期提供生效订单中的图书，但甲方通过其他途径采购成功的，则乙方应按照甲方所采购图书的3倍价赔偿。</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2.6若乙方提供虚假、作废发票或违反国家法律、法规开具或提供发票的，乙方自行承担全部法律责任，同时乙方还应按中标金额的百分之十向甲方支付违约金。</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2.7乙方转包或分包本项目，甲方有权拒绝支付书款和解除合同，同时乙方应向甲方支付20万元违约金。</w:t>
      </w:r>
    </w:p>
    <w:p>
      <w:pPr>
        <w:keepNext w:val="0"/>
        <w:keepLines w:val="0"/>
        <w:pageBreakBefore w:val="0"/>
        <w:widowControl w:val="0"/>
        <w:kinsoku/>
        <w:wordWrap/>
        <w:overflowPunct/>
        <w:topLinePunct w:val="0"/>
        <w:bidi w:val="0"/>
        <w:adjustRightInd w:val="0"/>
        <w:snapToGrid/>
        <w:spacing w:line="440" w:lineRule="exact"/>
        <w:ind w:firstLine="482" w:firstLineChars="200"/>
        <w:jc w:val="both"/>
        <w:textAlignment w:val="auto"/>
        <w:outlineLvl w:val="1"/>
        <w:rPr>
          <w:rFonts w:hint="eastAsia" w:ascii="宋体" w:hAnsi="宋体" w:eastAsia="宋体" w:cs="宋体"/>
          <w:b/>
          <w:bCs/>
          <w:color w:val="auto"/>
          <w:kern w:val="2"/>
          <w:sz w:val="24"/>
          <w:szCs w:val="24"/>
          <w:highlight w:val="none"/>
          <w:lang w:val="en-US" w:eastAsia="zh-CN" w:bidi="ar-SA"/>
        </w:rPr>
      </w:pPr>
      <w:bookmarkStart w:id="1223" w:name="_Toc25674"/>
      <w:bookmarkStart w:id="1224" w:name="_Toc10425"/>
      <w:r>
        <w:rPr>
          <w:rFonts w:hint="eastAsia" w:ascii="宋体" w:hAnsi="宋体" w:eastAsia="宋体" w:cs="宋体"/>
          <w:b/>
          <w:bCs/>
          <w:color w:val="auto"/>
          <w:kern w:val="2"/>
          <w:sz w:val="24"/>
          <w:szCs w:val="24"/>
          <w:highlight w:val="none"/>
          <w:lang w:val="en-US" w:eastAsia="zh-CN" w:bidi="ar-SA"/>
        </w:rPr>
        <w:t>十二、解决争议的方式</w:t>
      </w:r>
      <w:bookmarkEnd w:id="1223"/>
      <w:bookmarkEnd w:id="1224"/>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1.因质量问题发生争议，由乙方和甲方协商确定的第三方机构进行质量鉴定。质量符合标准的，鉴定费由甲方承担；不符合质量标准的，鉴定费由乙方承担。</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2.履约期间,若双方发生争议，双方应通过友好协商解决，经协商不能达成协议时，应向甲方所在地人民法院提起诉讼。</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3.在诉讼期间，除正在进行诉讼的部分外，合同其他部分继续执行。</w:t>
      </w:r>
    </w:p>
    <w:p>
      <w:pPr>
        <w:keepNext w:val="0"/>
        <w:keepLines w:val="0"/>
        <w:pageBreakBefore w:val="0"/>
        <w:widowControl w:val="0"/>
        <w:kinsoku/>
        <w:wordWrap/>
        <w:overflowPunct/>
        <w:topLinePunct w:val="0"/>
        <w:bidi w:val="0"/>
        <w:adjustRightInd w:val="0"/>
        <w:snapToGrid/>
        <w:spacing w:line="440" w:lineRule="exact"/>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十三、其他要求</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1.政府采购合同签订时间：乙方自中标通知书发出之日起30日内与甲方签订政府采购合同。</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应保证在本项目使用的任何产品和服务(包括部分使用)时，不会产生因第三方提出侵犯其专利权、商标权或其它知识产权而引起的法律和经济纠纷，如因专利权、商标权或其它知识产权而引起法律和经济纠纷，由乙方承担所有相关责任。</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3.乙方在项目执行过程中定期及时向甲方通告本项目供货的重大事项及其进度。</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4.接受项目行业管理部门及政府有关部门的指导，接受甲方的监督。</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乙方所提供的设备是经检验合格的全新正品。投标人不得以次充好，产品来源渠道必须合法，同时应根据国家有关规定、厂家服务承诺及采购单位的要求做好售后服务工作。乙方所提供的设备若发现有诸如数量、型号和外观尺寸与合同不符，或产生更换或补货等情形并导致工期延误，甲方有权根据合同有关条款的规定对因此造成的直接损失向乙方索赔。</w:t>
      </w:r>
      <w:bookmarkEnd w:id="1212"/>
    </w:p>
    <w:p>
      <w:pPr>
        <w:keepNext w:val="0"/>
        <w:keepLines w:val="0"/>
        <w:pageBreakBefore w:val="0"/>
        <w:widowControl w:val="0"/>
        <w:kinsoku/>
        <w:wordWrap/>
        <w:overflowPunct/>
        <w:topLinePunct w:val="0"/>
        <w:bidi w:val="0"/>
        <w:adjustRightInd w:val="0"/>
        <w:snapToGrid/>
        <w:spacing w:line="440" w:lineRule="exact"/>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十四、中小企业信用融资</w:t>
      </w:r>
    </w:p>
    <w:p>
      <w:pPr>
        <w:pStyle w:val="38"/>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乙方若为中小企业，在签订本合同后向融资机构申请融资，甲方按照成都市财政局 中国人民银行成都分行营业管理部关于印发《成都市中小企业政府采购信用融资暂行办法》和《成都市级支持中小企业政府采购信用融资实施方案》的通知(成财采〔2019〕17号)及成都市财政局 中国人民银行成都分行营业管理部关于印发成都市政府采购应对新冠肺炎疫情促进中小企业发展实施细则的通知(成财制〔2020〕2号)，支持并配合乙方开展政府采购信用融资。</w:t>
      </w:r>
    </w:p>
    <w:p>
      <w:pPr>
        <w:pStyle w:val="38"/>
        <w:keepNext w:val="0"/>
        <w:keepLines w:val="0"/>
        <w:pageBreakBefore w:val="0"/>
        <w:widowControl w:val="0"/>
        <w:kinsoku/>
        <w:wordWrap/>
        <w:overflowPunct/>
        <w:topLinePunct w:val="0"/>
        <w:autoSpaceDE/>
        <w:autoSpaceDN/>
        <w:bidi w:val="0"/>
        <w:adjustRightInd w:val="0"/>
        <w:snapToGrid w:val="0"/>
        <w:ind w:firstLine="480" w:firstLineChars="200"/>
        <w:jc w:val="center"/>
        <w:textAlignment w:val="auto"/>
        <w:rPr>
          <w:rFonts w:hint="eastAsia" w:ascii="宋体" w:hAnsi="宋体" w:eastAsia="宋体" w:cs="宋体"/>
          <w:color w:val="auto"/>
          <w:sz w:val="24"/>
          <w:szCs w:val="24"/>
          <w:highlight w:val="none"/>
          <w:lang w:val="en-US" w:eastAsia="zh-CN"/>
        </w:rPr>
      </w:pPr>
    </w:p>
    <w:p>
      <w:pPr>
        <w:pStyle w:val="3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lang w:val="en-US" w:eastAsia="zh-CN"/>
        </w:rPr>
      </w:pPr>
    </w:p>
    <w:p>
      <w:pPr>
        <w:pStyle w:val="3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(本页无正文)</w:t>
      </w:r>
    </w:p>
    <w:tbl>
      <w:tblPr>
        <w:tblStyle w:val="19"/>
        <w:tblW w:w="9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70"/>
        <w:gridCol w:w="4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4770" w:type="dxa"/>
            <w:vAlign w:val="center"/>
          </w:tcPr>
          <w:p>
            <w:pPr>
              <w:pStyle w:val="25"/>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   (盖章)</w:t>
            </w:r>
          </w:p>
        </w:tc>
        <w:tc>
          <w:tcPr>
            <w:tcW w:w="4770" w:type="dxa"/>
            <w:vAlign w:val="center"/>
          </w:tcPr>
          <w:p>
            <w:pPr>
              <w:pStyle w:val="25"/>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4770" w:type="dxa"/>
            <w:vAlign w:val="center"/>
          </w:tcPr>
          <w:p>
            <w:pPr>
              <w:pStyle w:val="25"/>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法定代表人(授权代表)：</w:t>
            </w:r>
          </w:p>
        </w:tc>
        <w:tc>
          <w:tcPr>
            <w:tcW w:w="4770" w:type="dxa"/>
            <w:vAlign w:val="center"/>
          </w:tcPr>
          <w:p>
            <w:pPr>
              <w:pStyle w:val="25"/>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4770" w:type="dxa"/>
            <w:vAlign w:val="center"/>
          </w:tcPr>
          <w:p>
            <w:pPr>
              <w:pStyle w:val="25"/>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住所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tc>
        <w:tc>
          <w:tcPr>
            <w:tcW w:w="4770" w:type="dxa"/>
            <w:vAlign w:val="center"/>
          </w:tcPr>
          <w:p>
            <w:pPr>
              <w:pStyle w:val="25"/>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住所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4770" w:type="dxa"/>
            <w:vAlign w:val="center"/>
          </w:tcPr>
          <w:p>
            <w:pPr>
              <w:pStyle w:val="25"/>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4770" w:type="dxa"/>
            <w:vAlign w:val="center"/>
          </w:tcPr>
          <w:p>
            <w:pPr>
              <w:pStyle w:val="25"/>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4770" w:type="dxa"/>
            <w:vAlign w:val="center"/>
          </w:tcPr>
          <w:p>
            <w:pPr>
              <w:pStyle w:val="25"/>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4770" w:type="dxa"/>
            <w:vAlign w:val="center"/>
          </w:tcPr>
          <w:p>
            <w:pPr>
              <w:pStyle w:val="25"/>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4770" w:type="dxa"/>
            <w:vAlign w:val="center"/>
          </w:tcPr>
          <w:p>
            <w:pPr>
              <w:pStyle w:val="25"/>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tc>
        <w:tc>
          <w:tcPr>
            <w:tcW w:w="4770" w:type="dxa"/>
            <w:vAlign w:val="center"/>
          </w:tcPr>
          <w:p>
            <w:pPr>
              <w:pStyle w:val="25"/>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4770" w:type="dxa"/>
            <w:vAlign w:val="center"/>
          </w:tcPr>
          <w:p>
            <w:pPr>
              <w:pStyle w:val="25"/>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传真：</w:t>
            </w:r>
          </w:p>
        </w:tc>
        <w:tc>
          <w:tcPr>
            <w:tcW w:w="4770" w:type="dxa"/>
            <w:vAlign w:val="center"/>
          </w:tcPr>
          <w:p>
            <w:pPr>
              <w:pStyle w:val="25"/>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4770" w:type="dxa"/>
            <w:vAlign w:val="center"/>
          </w:tcPr>
          <w:p>
            <w:pPr>
              <w:pStyle w:val="25"/>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签约日期：XX年XX月XX日</w:t>
            </w:r>
          </w:p>
        </w:tc>
        <w:tc>
          <w:tcPr>
            <w:tcW w:w="4770" w:type="dxa"/>
            <w:vAlign w:val="center"/>
          </w:tcPr>
          <w:p>
            <w:pPr>
              <w:pStyle w:val="25"/>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rPr>
              <w:t>签约日期：XX年XX月XX日</w:t>
            </w:r>
          </w:p>
        </w:tc>
      </w:tr>
    </w:tbl>
    <w:p>
      <w:pPr>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color w:val="auto"/>
          <w:sz w:val="24"/>
          <w:szCs w:val="24"/>
          <w:highlight w:val="none"/>
          <w:lang w:val="en-US" w:eastAsia="zh-CN"/>
        </w:rPr>
      </w:pPr>
    </w:p>
    <w:p>
      <w:pPr>
        <w:pStyle w:val="2"/>
        <w:rPr>
          <w:rFonts w:hint="eastAsia" w:ascii="宋体" w:hAnsi="宋体" w:eastAsia="宋体" w:cs="宋体"/>
          <w:color w:val="auto"/>
          <w:highlight w:val="none"/>
          <w:lang w:val="en-US" w:eastAsia="zh-CN"/>
        </w:rPr>
      </w:pPr>
    </w:p>
    <w:p>
      <w:pPr>
        <w:pageBreakBefore w:val="0"/>
        <w:kinsoku/>
        <w:wordWrap/>
        <w:overflowPunct/>
        <w:topLinePunct w:val="0"/>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p>
    <w:p>
      <w:pPr>
        <w:rPr>
          <w:rFonts w:hint="eastAsia" w:ascii="宋体" w:hAnsi="宋体" w:eastAsia="宋体" w:cs="宋体"/>
          <w:color w:val="auto"/>
          <w:highlight w:val="none"/>
          <w:lang w:val="en-US" w:eastAsia="zh-CN"/>
        </w:rPr>
      </w:pPr>
      <w:bookmarkStart w:id="1225" w:name="_Toc28848"/>
      <w:r>
        <w:rPr>
          <w:rFonts w:hint="eastAsia" w:ascii="宋体" w:hAnsi="宋体" w:eastAsia="宋体" w:cs="宋体"/>
          <w:color w:val="auto"/>
          <w:highlight w:val="none"/>
          <w:lang w:val="en-US" w:eastAsia="zh-CN"/>
        </w:rPr>
        <w:br w:type="page"/>
      </w:r>
    </w:p>
    <w:p>
      <w:pPr>
        <w:pStyle w:val="24"/>
        <w:numPr>
          <w:ilvl w:val="0"/>
          <w:numId w:val="11"/>
        </w:numPr>
        <w:bidi w:val="0"/>
        <w:rPr>
          <w:rFonts w:hint="eastAsia" w:ascii="宋体" w:hAnsi="宋体" w:eastAsia="宋体" w:cs="宋体"/>
          <w:color w:val="auto"/>
          <w:highlight w:val="none"/>
          <w:lang w:val="en-US" w:eastAsia="zh-CN"/>
        </w:rPr>
      </w:pPr>
      <w:bookmarkStart w:id="1226" w:name="_Toc15139"/>
      <w:r>
        <w:rPr>
          <w:rFonts w:hint="eastAsia" w:ascii="宋体" w:hAnsi="宋体" w:eastAsia="宋体" w:cs="宋体"/>
          <w:color w:val="auto"/>
          <w:highlight w:val="none"/>
          <w:lang w:val="en-US" w:eastAsia="zh-CN"/>
        </w:rPr>
        <w:t>附件</w:t>
      </w:r>
      <w:bookmarkEnd w:id="1225"/>
      <w:bookmarkEnd w:id="1226"/>
    </w:p>
    <w:p>
      <w:pPr>
        <w:pStyle w:val="25"/>
        <w:bidi w:val="0"/>
        <w:jc w:val="both"/>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24"/>
          <w:szCs w:val="24"/>
          <w:highlight w:val="none"/>
          <w:lang w:val="en-US" w:eastAsia="zh-CN"/>
        </w:rPr>
        <w:t>附件一：《2021年度信用评价服务效果调查表(供应商)》</w:t>
      </w:r>
    </w:p>
    <w:p>
      <w:pPr>
        <w:pStyle w:val="25"/>
        <w:bidi w:val="0"/>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2021年度信用评价服务效果调查表(供应商)</w:t>
      </w:r>
    </w:p>
    <w:p>
      <w:pPr>
        <w:pStyle w:val="25"/>
        <w:bidi w:val="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项目名称：</w:t>
      </w:r>
      <w:r>
        <w:rPr>
          <w:rFonts w:hint="eastAsia" w:ascii="宋体" w:hAnsi="宋体" w:eastAsia="宋体" w:cs="宋体"/>
          <w:color w:val="auto"/>
          <w:highlight w:val="none"/>
          <w:u w:val="single"/>
          <w:lang w:val="en-US" w:eastAsia="zh-CN"/>
        </w:rPr>
        <w:t xml:space="preserve">                               </w:t>
      </w:r>
    </w:p>
    <w:p>
      <w:pPr>
        <w:pStyle w:val="25"/>
        <w:bidi w:val="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项目编号：</w:t>
      </w:r>
      <w:r>
        <w:rPr>
          <w:rFonts w:hint="eastAsia" w:ascii="宋体" w:hAnsi="宋体" w:eastAsia="宋体" w:cs="宋体"/>
          <w:color w:val="auto"/>
          <w:highlight w:val="none"/>
          <w:u w:val="single"/>
          <w:lang w:val="en-US" w:eastAsia="zh-CN"/>
        </w:rPr>
        <w:t xml:space="preserve">                               </w:t>
      </w:r>
    </w:p>
    <w:p>
      <w:pPr>
        <w:pStyle w:val="25"/>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被评价代理机构名称：四川乾新招投标代理有限公司</w:t>
      </w:r>
    </w:p>
    <w:tbl>
      <w:tblPr>
        <w:tblStyle w:val="19"/>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满意 </w:t>
            </w:r>
          </w:p>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基本满意 </w:t>
            </w:r>
          </w:p>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一般 </w:t>
            </w:r>
          </w:p>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不满意</w:t>
            </w:r>
          </w:p>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8"/>
              <w:bidi w:val="0"/>
              <w:rPr>
                <w:rFonts w:hint="eastAsia" w:ascii="宋体" w:hAnsi="宋体" w:eastAsia="宋体" w:cs="宋体"/>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7"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5"/>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对代理机构工作的其他建议：</w:t>
            </w:r>
          </w:p>
          <w:p>
            <w:pPr>
              <w:pStyle w:val="45"/>
              <w:bidi w:val="0"/>
              <w:rPr>
                <w:rFonts w:hint="eastAsia" w:ascii="宋体" w:hAnsi="宋体" w:eastAsia="宋体" w:cs="宋体"/>
                <w:b/>
                <w:bCs/>
                <w:color w:val="auto"/>
                <w:highlight w:val="none"/>
                <w:lang w:val="en-US" w:eastAsia="zh-CN"/>
              </w:rPr>
            </w:pPr>
          </w:p>
          <w:p>
            <w:pPr>
              <w:pStyle w:val="45"/>
              <w:bidi w:val="0"/>
              <w:rPr>
                <w:rFonts w:hint="eastAsia" w:ascii="宋体" w:hAnsi="宋体" w:eastAsia="宋体" w:cs="宋体"/>
                <w:b/>
                <w:bCs/>
                <w:color w:val="auto"/>
                <w:highlight w:val="none"/>
                <w:lang w:val="en-US" w:eastAsia="zh-CN"/>
              </w:rPr>
            </w:pPr>
          </w:p>
          <w:p>
            <w:pPr>
              <w:pStyle w:val="45"/>
              <w:bidi w:val="0"/>
              <w:rPr>
                <w:rFonts w:hint="eastAsia" w:ascii="宋体" w:hAnsi="宋体" w:eastAsia="宋体" w:cs="宋体"/>
                <w:b/>
                <w:bCs/>
                <w:color w:val="auto"/>
                <w:highlight w:val="none"/>
                <w:lang w:val="en-US" w:eastAsia="zh-CN"/>
              </w:rPr>
            </w:pPr>
          </w:p>
          <w:p>
            <w:pPr>
              <w:pStyle w:val="45"/>
              <w:bidi w:val="0"/>
              <w:rPr>
                <w:rFonts w:hint="eastAsia" w:ascii="宋体" w:hAnsi="宋体" w:eastAsia="宋体" w:cs="宋体"/>
                <w:b/>
                <w:bCs/>
                <w:color w:val="auto"/>
                <w:highlight w:val="none"/>
                <w:lang w:val="en-US" w:eastAsia="zh-CN"/>
              </w:rPr>
            </w:pPr>
          </w:p>
          <w:p>
            <w:pPr>
              <w:pStyle w:val="45"/>
              <w:bidi w:val="0"/>
              <w:rPr>
                <w:rFonts w:hint="eastAsia" w:ascii="宋体" w:hAnsi="宋体" w:eastAsia="宋体" w:cs="宋体"/>
                <w:b/>
                <w:bCs/>
                <w:color w:val="auto"/>
                <w:highlight w:val="none"/>
                <w:lang w:val="en-US" w:eastAsia="zh-CN"/>
              </w:rPr>
            </w:pPr>
          </w:p>
          <w:p>
            <w:pPr>
              <w:pStyle w:val="45"/>
              <w:bidi w:val="0"/>
              <w:rPr>
                <w:rFonts w:hint="eastAsia" w:ascii="宋体" w:hAnsi="宋体" w:eastAsia="宋体" w:cs="宋体"/>
                <w:b/>
                <w:bCs/>
                <w:color w:val="auto"/>
                <w:highlight w:val="none"/>
                <w:lang w:val="en-US" w:eastAsia="zh-CN"/>
              </w:rPr>
            </w:pPr>
          </w:p>
          <w:p>
            <w:pPr>
              <w:pStyle w:val="45"/>
              <w:bidi w:val="0"/>
              <w:rPr>
                <w:rFonts w:hint="eastAsia" w:ascii="宋体" w:hAnsi="宋体" w:eastAsia="宋体" w:cs="宋体"/>
                <w:b/>
                <w:bCs/>
                <w:color w:val="auto"/>
                <w:highlight w:val="none"/>
                <w:lang w:val="en-US" w:eastAsia="zh-CN"/>
              </w:rPr>
            </w:pPr>
          </w:p>
          <w:p>
            <w:pPr>
              <w:pStyle w:val="45"/>
              <w:bidi w:val="0"/>
              <w:rPr>
                <w:rFonts w:hint="eastAsia" w:ascii="宋体" w:hAnsi="宋体" w:eastAsia="宋体" w:cs="宋体"/>
                <w:b/>
                <w:bCs/>
                <w:color w:val="auto"/>
                <w:highlight w:val="none"/>
                <w:lang w:val="en-US" w:eastAsia="zh-CN"/>
              </w:rPr>
            </w:pPr>
          </w:p>
          <w:p>
            <w:pPr>
              <w:pStyle w:val="45"/>
              <w:bidi w:val="0"/>
              <w:rPr>
                <w:rFonts w:hint="eastAsia" w:ascii="宋体" w:hAnsi="宋体" w:eastAsia="宋体" w:cs="宋体"/>
                <w:b/>
                <w:bCs/>
                <w:color w:val="auto"/>
                <w:highlight w:val="none"/>
                <w:lang w:val="en-US" w:eastAsia="zh-CN"/>
              </w:rPr>
            </w:pPr>
          </w:p>
          <w:p>
            <w:pPr>
              <w:pStyle w:val="45"/>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供应商名称：</w:t>
            </w: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b/>
                <w:bCs/>
                <w:color w:val="auto"/>
                <w:highlight w:val="none"/>
                <w:lang w:val="en-US" w:eastAsia="zh-CN"/>
              </w:rPr>
              <w:t>(加盖鲜章)</w:t>
            </w:r>
          </w:p>
        </w:tc>
      </w:tr>
    </w:tbl>
    <w:p>
      <w:pPr>
        <w:pStyle w:val="49"/>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说明：请贵公司根据政府采购代理机构2021年度政府采购项目的实际情况，在“满意”、“基本满意”、“一般”、“不满意”四个评价档次栏中选取一栏打“√”，并加盖鲜章。</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25"/>
        <w:bidi w:val="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附件二</w:t>
      </w:r>
    </w:p>
    <w:p>
      <w:pPr>
        <w:widowControl/>
        <w:spacing w:line="33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统计上大中小微型企业划分标准</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行业名称</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指标名称</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计量</w:t>
            </w:r>
            <w:r>
              <w:rPr>
                <w:rFonts w:hint="eastAsia" w:ascii="宋体" w:hAnsi="宋体" w:eastAsia="宋体" w:cs="宋体"/>
                <w:b/>
                <w:bCs/>
                <w:color w:val="auto"/>
                <w:kern w:val="0"/>
                <w:sz w:val="15"/>
                <w:szCs w:val="15"/>
                <w:highlight w:val="none"/>
              </w:rPr>
              <w:br w:type="textWrapping"/>
            </w:r>
            <w:r>
              <w:rPr>
                <w:rFonts w:hint="eastAsia" w:ascii="宋体" w:hAnsi="宋体" w:eastAsia="宋体" w:cs="宋体"/>
                <w:b/>
                <w:bCs/>
                <w:color w:val="auto"/>
                <w:kern w:val="0"/>
                <w:sz w:val="15"/>
                <w:szCs w:val="15"/>
                <w:highlight w:val="none"/>
              </w:rPr>
              <w:t>单位</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大型</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中型</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小型</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农、林、牧、渔业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50≤Y＜500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工业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Y≥40000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300≤Y＜2000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Y≥80000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6000≤Y＜80000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300≤Y＜6000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Z≥80000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5000≤Z＜80000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300≤Z＜5000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批发业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X≥200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5≤X＜20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Y≥40000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1" w:leftChars="-1" w:hanging="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1000≤Y＜5000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零售业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50≤X＜300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1" w:leftChars="-1" w:hanging="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10≤X＜50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1" w:leftChars="-1" w:hanging="1"/>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100≤Y＜500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交通运输业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200≤Y＜3000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仓储业*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X≥200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32" w:leftChars="-51" w:hanging="90" w:hangingChars="60"/>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20≤X＜100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邮政业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住宿业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32" w:leftChars="-51" w:hanging="90" w:hangingChars="60"/>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餐饮业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32" w:leftChars="-51" w:hanging="90" w:hangingChars="60"/>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信息传输业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X≥2000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100≤X＜2000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1000≤Y＜100000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spacing w:val="-12"/>
                <w:kern w:val="0"/>
                <w:sz w:val="15"/>
                <w:szCs w:val="15"/>
                <w:highlight w:val="none"/>
              </w:rPr>
            </w:pPr>
            <w:r>
              <w:rPr>
                <w:rFonts w:hint="eastAsia" w:ascii="宋体" w:hAnsi="宋体" w:eastAsia="宋体" w:cs="宋体"/>
                <w:color w:val="auto"/>
                <w:spacing w:val="-12"/>
                <w:kern w:val="0"/>
                <w:sz w:val="15"/>
                <w:szCs w:val="15"/>
                <w:highlight w:val="none"/>
              </w:rPr>
              <w:t>软件和信息技术服</w:t>
            </w:r>
            <w:r>
              <w:rPr>
                <w:rFonts w:hint="eastAsia" w:ascii="宋体" w:hAnsi="宋体" w:eastAsia="宋体" w:cs="宋体"/>
                <w:color w:val="auto"/>
                <w:kern w:val="0"/>
                <w:sz w:val="15"/>
                <w:szCs w:val="15"/>
                <w:highlight w:val="none"/>
              </w:rPr>
              <w:t>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32" w:leftChars="-51" w:hanging="90" w:hangingChars="60"/>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spacing w:val="-12"/>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50≤Y＜1000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房地产开发经营</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Y≥200000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1000≤Y＜200000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Z≥10000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5000≤Z＜10000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2000≤Z＜5000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物业管理</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100≤X＜300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Y≥5000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32" w:leftChars="-51" w:hanging="90" w:hangingChars="60"/>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1000≤Y＜5000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500≤Y＜1000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租赁和商务服务业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32" w:leftChars="-51" w:hanging="90" w:hangingChars="60"/>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Z≥120000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8000≤Z＜120000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100≤Z＜8000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其他未列明行业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32" w:leftChars="-51" w:hanging="90" w:hangingChars="60"/>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2.附表中各行业的范围以《国民经济行业分类》</w:t>
      </w:r>
      <w:r>
        <w:rPr>
          <w:rFonts w:hint="eastAsia" w:ascii="宋体" w:hAnsi="宋体" w:eastAsia="宋体"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GB/T4754-2017</w:t>
      </w:r>
      <w:r>
        <w:rPr>
          <w:rFonts w:hint="eastAsia" w:ascii="宋体" w:hAnsi="宋体" w:eastAsia="宋体"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pacing w:val="8"/>
          <w:kern w:val="0"/>
          <w:sz w:val="24"/>
          <w:szCs w:val="24"/>
          <w:highlight w:val="none"/>
        </w:rPr>
        <w:t>3.企业划分指标以现行统计制度为准。</w:t>
      </w:r>
      <w:r>
        <w:rPr>
          <w:rFonts w:hint="eastAsia" w:ascii="宋体" w:hAnsi="宋体" w:eastAsia="宋体"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1</w:t>
      </w:r>
      <w:r>
        <w:rPr>
          <w:rFonts w:hint="eastAsia" w:ascii="宋体" w:hAnsi="宋体" w:eastAsia="宋体"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从业人员，是指期末从业人员数，没有期末从业人员数的，采用全年平均人员数代替。</w:t>
      </w:r>
      <w:r>
        <w:rPr>
          <w:rFonts w:hint="eastAsia" w:ascii="宋体" w:hAnsi="宋体" w:eastAsia="宋体"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2</w:t>
      </w:r>
      <w:r>
        <w:rPr>
          <w:rFonts w:hint="eastAsia" w:ascii="宋体" w:hAnsi="宋体" w:eastAsia="宋体"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宋体" w:hAnsi="宋体" w:eastAsia="宋体"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3</w:t>
      </w:r>
      <w:r>
        <w:rPr>
          <w:rFonts w:hint="eastAsia" w:ascii="宋体" w:hAnsi="宋体" w:eastAsia="宋体"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资产总额，采用资产总计代替。</w:t>
      </w:r>
      <w:r>
        <w:rPr>
          <w:rFonts w:hint="eastAsia" w:ascii="宋体" w:hAnsi="宋体" w:eastAsia="宋体" w:cs="宋体"/>
          <w:b/>
          <w:bCs/>
          <w:color w:val="auto"/>
          <w:sz w:val="24"/>
          <w:szCs w:val="24"/>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sz w:val="24"/>
          <w:szCs w:val="24"/>
          <w:highlight w:val="none"/>
          <w:lang w:val="en-US" w:eastAsia="zh-CN"/>
        </w:rPr>
        <w:t>附件三：</w:t>
      </w:r>
      <w:r>
        <w:rPr>
          <w:rFonts w:hint="eastAsia" w:ascii="宋体" w:hAnsi="宋体" w:eastAsia="宋体" w:cs="宋体"/>
          <w:b/>
          <w:bCs/>
          <w:color w:val="auto"/>
          <w:highlight w:val="none"/>
          <w:lang w:val="en-US" w:eastAsia="zh-CN"/>
        </w:rPr>
        <w:t>《四川省财政厅关于推进四川省政府采购供应商信用融资工作的通知》(川财采〔2018〕123号文)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b/>
          <w:bCs/>
          <w:i w:val="0"/>
          <w:caps w:val="0"/>
          <w:color w:val="auto"/>
          <w:spacing w:val="0"/>
          <w:sz w:val="24"/>
          <w:szCs w:val="24"/>
          <w:highlight w:val="none"/>
          <w:lang w:val="en-US" w:eastAsia="zh-CN"/>
        </w:rPr>
      </w:pPr>
      <w:r>
        <w:rPr>
          <w:rFonts w:hint="eastAsia" w:ascii="宋体" w:hAnsi="宋体" w:eastAsia="宋体" w:cs="宋体"/>
          <w:b/>
          <w:bCs/>
          <w:color w:val="auto"/>
          <w:highlight w:val="none"/>
          <w:lang w:val="en-US" w:eastAsia="zh-CN"/>
        </w:rPr>
        <w:t>查询链接：</w:t>
      </w:r>
      <w:r>
        <w:rPr>
          <w:rFonts w:hint="eastAsia" w:ascii="宋体" w:hAnsi="宋体" w:eastAsia="宋体" w:cs="宋体"/>
          <w:b/>
          <w:bCs/>
          <w:i w:val="0"/>
          <w:caps w:val="0"/>
          <w:color w:val="auto"/>
          <w:spacing w:val="0"/>
          <w:sz w:val="24"/>
          <w:szCs w:val="24"/>
          <w:highlight w:val="none"/>
          <w:lang w:val="en-US" w:eastAsia="zh-CN"/>
        </w:rPr>
        <w:t>http：//www.ccgp-sichuan.gov.cn/view/staticpags/sjzcfg/40288687657ff75501672fd954532414.html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5302250" cy="1859915"/>
            <wp:effectExtent l="0" t="0" r="6350"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各市</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州</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、扩权县</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市</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财政局，各省直机关、事业单位、团体组织，各金融机构，各采购代理机构，各政府采购供应商：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川府发〔2018〕14号</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等有关规定，现就推进四川省政府采购供应商信用融资工作有关事项通知如下。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一、融资概念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政府采购供应商信用融资</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以下简称“政采贷”</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，是指银行以政府采购供应商信用审查和政府采购信誉为基础，依托政府采购合同，按优于一般企业的贷款程序和利率，直接向申请贷款的供应商发放无财产抵押贷款的一种融资模式。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二、基本原则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财政引导，市场运行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财政部门推进“政采贷”，银行和供应商按照自愿原则参与。供应商自愿选择是否申请“政采贷”，银行依据其内部审查制度和决策程序决定是否为供应商提供融资，自担风险。</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建立机制，服务银企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优质优惠，加强扶持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三、基本条件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银行暨“政采贷”金融产品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1、征集。</w:t>
      </w:r>
      <w:r>
        <w:rPr>
          <w:rFonts w:hint="eastAsia" w:ascii="宋体" w:hAnsi="宋体" w:eastAsia="宋体" w:cs="宋体"/>
          <w:b w:val="0"/>
          <w:i w:val="0"/>
          <w:caps w:val="0"/>
          <w:color w:val="auto"/>
          <w:spacing w:val="0"/>
          <w:sz w:val="24"/>
          <w:szCs w:val="24"/>
          <w:highlight w:val="none"/>
        </w:rPr>
        <w:t>在四川省行政区域内，有意向开展“政采贷”工作的银行，可以于2018年12月21日前，直接向四川省财政厅</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政府采购监督管理处</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提交书面申请。四川省财政厅可以根据情况每年征集一次有意向开展“政采贷”工作的银行。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申请材料应当包括银行基本情况、“政采贷”产品名称、申请贷款条件、申请贷款方式、申请贷款程序、贷款审查流程、贷款额度、发放贷款时间、收款方式及其他优质服务和优惠承诺等。</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银行提供的“政采贷”产品应当满足“无抵押担保、程序简便、利率优惠、放款及时”的基本条件以及本通知其他相关规定。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银行申请材料中应当载明其自愿提供“政采贷”产品，自担风险，不得要求或者变相要求财政部门和采购人为其提供风险担保、承诺。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2、公示。</w:t>
      </w:r>
      <w:r>
        <w:rPr>
          <w:rFonts w:hint="eastAsia" w:ascii="宋体" w:hAnsi="宋体" w:eastAsia="宋体" w:cs="宋体"/>
          <w:b w:val="0"/>
          <w:i w:val="0"/>
          <w:caps w:val="0"/>
          <w:color w:val="auto"/>
          <w:spacing w:val="0"/>
          <w:sz w:val="24"/>
          <w:szCs w:val="24"/>
          <w:highlight w:val="none"/>
        </w:rPr>
        <w:t>四川省财政厅收到银行提交的书面申请后，对满足本通知要求的银行及其“政采贷”产品具体信息，及时在</w:t>
      </w:r>
      <w:r>
        <w:rPr>
          <w:rFonts w:hint="eastAsia" w:ascii="宋体" w:hAnsi="宋体" w:eastAsia="宋体"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向社会公示。银行申请材料中提供的“政采贷”产品不满足本通知要求的，四川省财政厅将退回申请，并告知理由。</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政府采购供应商向银行申请“政采贷”，应当满足下列基本条件：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1、</w:t>
      </w:r>
      <w:r>
        <w:rPr>
          <w:rFonts w:hint="eastAsia" w:ascii="宋体" w:hAnsi="宋体" w:eastAsia="宋体" w:cs="宋体"/>
          <w:b w:val="0"/>
          <w:i w:val="0"/>
          <w:caps w:val="0"/>
          <w:color w:val="auto"/>
          <w:spacing w:val="0"/>
          <w:sz w:val="24"/>
          <w:szCs w:val="24"/>
          <w:highlight w:val="none"/>
        </w:rPr>
        <w:t>具有依法承担民事责任的能力；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2、</w:t>
      </w:r>
      <w:r>
        <w:rPr>
          <w:rFonts w:hint="eastAsia" w:ascii="宋体" w:hAnsi="宋体" w:eastAsia="宋体" w:cs="宋体"/>
          <w:b w:val="0"/>
          <w:i w:val="0"/>
          <w:caps w:val="0"/>
          <w:color w:val="auto"/>
          <w:spacing w:val="0"/>
          <w:sz w:val="24"/>
          <w:szCs w:val="24"/>
          <w:highlight w:val="none"/>
        </w:rPr>
        <w:t>具有依法履行政府采购合同的能力；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3、</w:t>
      </w:r>
      <w:r>
        <w:rPr>
          <w:rFonts w:hint="eastAsia" w:ascii="宋体" w:hAnsi="宋体" w:eastAsia="宋体" w:cs="宋体"/>
          <w:b w:val="0"/>
          <w:i w:val="0"/>
          <w:caps w:val="0"/>
          <w:color w:val="auto"/>
          <w:spacing w:val="0"/>
          <w:sz w:val="24"/>
          <w:szCs w:val="24"/>
          <w:highlight w:val="none"/>
        </w:rPr>
        <w:t>参加的政府采购活动未被财政部门依法暂停、责令重新开展或者认定中标、成交无效；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4、</w:t>
      </w:r>
      <w:r>
        <w:rPr>
          <w:rFonts w:hint="eastAsia" w:ascii="宋体" w:hAnsi="宋体" w:eastAsia="宋体" w:cs="宋体"/>
          <w:b w:val="0"/>
          <w:i w:val="0"/>
          <w:caps w:val="0"/>
          <w:color w:val="auto"/>
          <w:spacing w:val="0"/>
          <w:sz w:val="24"/>
          <w:szCs w:val="24"/>
          <w:highlight w:val="none"/>
        </w:rPr>
        <w:t>无《政府采购法》第二十二条第一款第</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五</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项所称的重大违法记录；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5、</w:t>
      </w:r>
      <w:r>
        <w:rPr>
          <w:rFonts w:hint="eastAsia" w:ascii="宋体" w:hAnsi="宋体" w:eastAsia="宋体" w:cs="宋体"/>
          <w:b w:val="0"/>
          <w:i w:val="0"/>
          <w:caps w:val="0"/>
          <w:color w:val="auto"/>
          <w:spacing w:val="0"/>
          <w:sz w:val="24"/>
          <w:szCs w:val="24"/>
          <w:highlight w:val="none"/>
        </w:rPr>
        <w:t>未被法院、市场监管、税务、银行等部门单位纳入失信名单且在有效期内；</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6、</w:t>
      </w:r>
      <w:r>
        <w:rPr>
          <w:rFonts w:hint="eastAsia" w:ascii="宋体" w:hAnsi="宋体" w:eastAsia="宋体" w:cs="宋体"/>
          <w:b w:val="0"/>
          <w:i w:val="0"/>
          <w:caps w:val="0"/>
          <w:color w:val="auto"/>
          <w:spacing w:val="0"/>
          <w:sz w:val="24"/>
          <w:szCs w:val="24"/>
          <w:highlight w:val="none"/>
        </w:rPr>
        <w:t>在一定期限内的</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银行可以具体确定</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政府采购合同履约过程中或者其他经营活动履约过程中，无不依法履约被有关行政部门行政处罚的或者产生法律纠纷被法院、仲裁机构判决、裁决败诉的；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7、</w:t>
      </w:r>
      <w:r>
        <w:rPr>
          <w:rFonts w:hint="eastAsia" w:ascii="宋体" w:hAnsi="宋体" w:eastAsia="宋体" w:cs="宋体"/>
          <w:b w:val="0"/>
          <w:i w:val="0"/>
          <w:caps w:val="0"/>
          <w:color w:val="auto"/>
          <w:spacing w:val="0"/>
          <w:sz w:val="24"/>
          <w:szCs w:val="24"/>
          <w:highlight w:val="none"/>
        </w:rPr>
        <w:t>其他银行要求的不属于提供财产抵押或第三方担保的条件。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四、构建平台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四川省财政厅将在</w:t>
      </w:r>
      <w:r>
        <w:rPr>
          <w:rFonts w:hint="eastAsia" w:ascii="宋体" w:hAnsi="宋体" w:eastAsia="宋体"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统一构建四川省“政采贷”信息化服务平台，推进四川省“政采贷”工作信息化建设。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五、财金互动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各级财政部门应当按照《四川省政府采购促进中小企业发展的若干规定》</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川财采[2016]35号</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等有关规定，对金融机构向小微企业提供“政采贷”贷款产生的损失，纳入财政金融互动政策范围给予风险补贴。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六、基本流程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意向申请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rPr>
        <w:t>有融资需求的供应商可根据</w:t>
      </w:r>
      <w:r>
        <w:rPr>
          <w:rFonts w:hint="eastAsia" w:ascii="宋体" w:hAnsi="宋体" w:eastAsia="宋体"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公示的银行及其“政采贷”产品，自行选择符合自身情况的“政采贷”银行及其产品，凭中标</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成交</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通知书向银行提出贷款意向申请。银行应及时按照有关规定完成对供应商的信用审查以及开设账户等相关工作。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供应商与采购人在法定时间依法签订政府采购合同</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政府采购合同签订后，应当依法在7个工作日内向同级财政部门备案，2个工作日内在</w:t>
      </w:r>
      <w:r>
        <w:rPr>
          <w:rFonts w:hint="eastAsia" w:ascii="宋体" w:hAnsi="宋体" w:eastAsia="宋体"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公告</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后，可凭政府采购合同向银行提出“政采贷”正式申请。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ascii="宋体" w:hAnsi="宋体" w:eastAsia="宋体"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公告。</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贷款审查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ascii="宋体" w:hAnsi="宋体" w:eastAsia="宋体"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公示的“政采贷”产品服务承诺事项及时放款。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四</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信息报送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银行完成放款后，应当通过四川省“政采贷”信息化服务平台，填写《四川省“政采贷”信息统计表》</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详见附件</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，每季度终了5个工作日内，向四川省财政厅</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政府采购监督管理处</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报送，以便相关部门及时掌握和分析“政采贷”信息，不断推进“政采贷”工作。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五</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资金支付</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政府采购资金支付过程中，银行需要查询采购资金支付进程有关信息的，财政部门和采购人应当支持。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七、职责要求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四</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五</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供应商应当依法参加政府采购活动，公平竞争，诚实守信，严格按照政府采购合同履约，严格按照借款合同偿还债务。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六</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财政部门、采购人、采购代理机构及其他有关单位和个人不得违规干预供应商选择“政采贷”银行及其产品，也不得违规干预银行向供应商进行贷款。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七</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相关单位和个人在开展“政采贷”工作过程中，发现新问题、新情况或者有意见建议的，请及时向四川省财政厅反馈。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八、违规处理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银行违规处理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银行不按照其在</w:t>
      </w:r>
      <w:r>
        <w:rPr>
          <w:rFonts w:hint="eastAsia" w:ascii="宋体" w:hAnsi="宋体" w:eastAsia="宋体"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公示的“政采贷”产品服务承诺事项办理供应商信用融资贷款申请的，由四川省财政厅进行约谈，责令限期整改；拒不整改或者变相拒不整改的，撤销其在</w:t>
      </w:r>
      <w:r>
        <w:rPr>
          <w:rFonts w:hint="eastAsia" w:ascii="宋体" w:hAnsi="宋体" w:eastAsia="宋体"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的公示信息，取消其资格，并在1-3年内拒绝接收其再次申请。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供应商违规处理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二</w:t>
      </w:r>
      <w:r>
        <w:rPr>
          <w:rFonts w:hint="eastAsia" w:ascii="宋体" w:hAnsi="宋体" w:eastAsia="宋体"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项规定的具有良好的商业信誉条件”名单，并在</w:t>
      </w:r>
      <w:r>
        <w:rPr>
          <w:rFonts w:hint="eastAsia" w:ascii="宋体" w:hAnsi="宋体" w:eastAsia="宋体"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ascii="宋体" w:hAnsi="宋体" w:eastAsia="宋体"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其他违规处理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rPr>
        <w:t> </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drawing>
          <wp:anchor distT="0" distB="0" distL="114300" distR="114300" simplePos="0" relativeHeight="251661312" behindDoc="0" locked="0" layoutInCell="1" allowOverlap="1">
            <wp:simplePos x="0" y="0"/>
            <wp:positionH relativeFrom="column">
              <wp:posOffset>3808095</wp:posOffset>
            </wp:positionH>
            <wp:positionV relativeFrom="paragraph">
              <wp:posOffset>1694180</wp:posOffset>
            </wp:positionV>
            <wp:extent cx="1771650" cy="1781175"/>
            <wp:effectExtent l="0" t="0" r="6350" b="952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color w:val="auto"/>
          <w:sz w:val="24"/>
          <w:szCs w:val="24"/>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附件四：成都市财政局  中国人民银行成都分行营业管理部关于印发《成都市中小企业政府采购信用融资暂行办法》和《成都市级支持中小企业政府采购信用融资实施方案》的通知(成财采〔2019〕17号)</w:t>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查询链接：</w:t>
      </w: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"http://cdcz.chengdu.gov.cn/cdsczj/c116726/2019-03/13/content_7d81ae9c2a1e48968c7839a9c5b88ccd.shtml" </w:instrText>
      </w:r>
      <w:r>
        <w:rPr>
          <w:rFonts w:hint="eastAsia" w:ascii="宋体" w:hAnsi="宋体" w:eastAsia="宋体" w:cs="宋体"/>
          <w:b/>
          <w:bCs/>
          <w:color w:val="auto"/>
          <w:sz w:val="24"/>
          <w:szCs w:val="24"/>
          <w:highlight w:val="none"/>
          <w:lang w:val="en-US" w:eastAsia="zh-CN"/>
        </w:rPr>
        <w:fldChar w:fldCharType="separate"/>
      </w:r>
      <w:r>
        <w:rPr>
          <w:rStyle w:val="23"/>
          <w:rFonts w:hint="eastAsia" w:ascii="宋体" w:hAnsi="宋体" w:eastAsia="宋体" w:cs="宋体"/>
          <w:b/>
          <w:bCs/>
          <w:color w:val="auto"/>
          <w:sz w:val="24"/>
          <w:szCs w:val="24"/>
          <w:highlight w:val="none"/>
          <w:lang w:val="en-US" w:eastAsia="zh-CN"/>
        </w:rPr>
        <w:t>http：//cdcz.chengdu.gov.cn/cdsczj/c116726/2019-03/13/content_7d81ae9c2a1e48968c7839a9c5b88ccd.shtml</w:t>
      </w:r>
      <w:r>
        <w:rPr>
          <w:rFonts w:hint="eastAsia" w:ascii="宋体" w:hAnsi="宋体" w:eastAsia="宋体" w:cs="宋体"/>
          <w:b/>
          <w:bCs/>
          <w:color w:val="auto"/>
          <w:sz w:val="24"/>
          <w:szCs w:val="24"/>
          <w:highlight w:val="none"/>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p>
    <w:tbl>
      <w:tblPr>
        <w:tblStyle w:val="19"/>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宋体" w:hAnsi="宋体" w:eastAsia="宋体" w:cs="宋体"/>
                <w:color w:val="auto"/>
                <w:sz w:val="66"/>
                <w:szCs w:val="66"/>
                <w:highlight w:val="none"/>
              </w:rPr>
            </w:pPr>
            <w:r>
              <w:rPr>
                <w:rFonts w:hint="eastAsia" w:ascii="宋体" w:hAnsi="宋体" w:eastAsia="宋体" w:cs="宋体"/>
                <w:color w:val="auto"/>
                <w:sz w:val="66"/>
                <w:szCs w:val="66"/>
                <w:highlight w:val="none"/>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66"/>
                <w:szCs w:val="66"/>
                <w:highlight w:val="none"/>
              </w:rPr>
            </w:pPr>
            <w:r>
              <w:rPr>
                <w:rFonts w:hint="eastAsia" w:ascii="宋体" w:hAnsi="宋体" w:eastAsia="宋体" w:cs="宋体"/>
                <w:color w:val="auto"/>
                <w:sz w:val="66"/>
                <w:szCs w:val="66"/>
                <w:highlight w:val="none"/>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宋体" w:hAnsi="宋体" w:eastAsia="宋体" w:cs="宋体"/>
                <w:color w:val="auto"/>
                <w:spacing w:val="-20"/>
                <w:w w:val="82"/>
                <w:sz w:val="62"/>
                <w:szCs w:val="62"/>
                <w:highlight w:val="none"/>
              </w:rPr>
            </w:pPr>
            <w:r>
              <w:rPr>
                <w:rFonts w:hint="eastAsia" w:ascii="宋体" w:hAnsi="宋体" w:eastAsia="宋体" w:cs="宋体"/>
                <w:color w:val="auto"/>
                <w:spacing w:val="-20"/>
                <w:w w:val="82"/>
                <w:sz w:val="62"/>
                <w:szCs w:val="62"/>
                <w:highlight w:val="none"/>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66"/>
                <w:szCs w:val="66"/>
                <w:highlight w:val="none"/>
              </w:rPr>
            </w:pPr>
          </w:p>
        </w:tc>
      </w:tr>
    </w:tbl>
    <w:p>
      <w:pPr>
        <w:snapToGrid w:val="0"/>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8480" cy="0"/>
                <wp:effectExtent l="0" t="9525" r="7620" b="1587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2336;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hint="eastAsia" w:ascii="宋体" w:hAnsi="宋体" w:eastAsia="宋体" w:cs="宋体"/>
          <w:color w:val="auto"/>
          <w:highlight w:val="none"/>
        </w:rPr>
        <w:t>成财采〔2019〕17号</w:t>
      </w:r>
    </w:p>
    <w:p>
      <w:pPr>
        <w:topLinePunct/>
        <w:jc w:val="center"/>
        <w:rPr>
          <w:rFonts w:hint="eastAsia" w:ascii="宋体" w:hAnsi="宋体" w:eastAsia="宋体" w:cs="宋体"/>
          <w:color w:val="auto"/>
          <w:highlight w:val="none"/>
        </w:rPr>
      </w:pPr>
    </w:p>
    <w:p>
      <w:pPr>
        <w:topLinePunct/>
        <w:snapToGrid w:val="0"/>
        <w:jc w:val="center"/>
        <w:rPr>
          <w:rFonts w:hint="eastAsia" w:ascii="宋体" w:hAnsi="宋体" w:eastAsia="宋体" w:cs="宋体"/>
          <w:color w:val="auto"/>
          <w:spacing w:val="-18"/>
          <w:sz w:val="44"/>
          <w:szCs w:val="44"/>
          <w:highlight w:val="none"/>
        </w:rPr>
      </w:pPr>
      <w:r>
        <w:rPr>
          <w:rFonts w:hint="eastAsia" w:ascii="宋体" w:hAnsi="宋体" w:eastAsia="宋体" w:cs="宋体"/>
          <w:color w:val="auto"/>
          <w:spacing w:val="-18"/>
          <w:sz w:val="44"/>
          <w:szCs w:val="44"/>
          <w:highlight w:val="none"/>
        </w:rPr>
        <w:t>成都市财政局  中国人民银行成都分行营业管理部</w:t>
      </w:r>
    </w:p>
    <w:p>
      <w:pPr>
        <w:topLinePunct/>
        <w:snapToGrid w:val="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关于印发《成都市中小企业政府采购信用融资</w:t>
      </w:r>
    </w:p>
    <w:p>
      <w:pPr>
        <w:topLinePunct/>
        <w:snapToGrid w:val="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暂行办法》和《成都市级支持中小企业</w:t>
      </w:r>
    </w:p>
    <w:p>
      <w:pPr>
        <w:topLinePunct/>
        <w:snapToGrid w:val="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政府采购信用融资实施方案》的通知</w:t>
      </w:r>
    </w:p>
    <w:p>
      <w:pPr>
        <w:jc w:val="center"/>
        <w:rPr>
          <w:rFonts w:hint="eastAsia" w:ascii="宋体" w:hAnsi="宋体" w:eastAsia="宋体" w:cs="宋体"/>
          <w:color w:val="auto"/>
          <w:highlight w:val="none"/>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成都天府新区、高新区财政金融局，各区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以下简称《暂行办法》和《实施方案》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市级各部门、单位即日起严格按照《暂行办法》和《实施方案》相关规定和工作要求，结合职能职责认真抓好贯彻执行。各区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2．成都市级支持中小企业政府采购信用融资实施方案</w:t>
      </w: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2019年2月26日</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成都市中小企业政府采购信用融资暂行办法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第一条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政策依据</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川财采〔2016〕35号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和《四川省财政厅关于推进四川省政府采购供应商信用融资工作的通知》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川财采〔2018〕123号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适用范围</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第三条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术语定义</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本办法所称政府采购信用融资，是指融资机构以信用审查为基础，依据政府采购合同，按相应的优惠政策向申请融资的中小企业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以下简称供应商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第四条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基本原则</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第五条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融资方式</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第六条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融资额度</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第七条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融资利率</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第八条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融资期限</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第九条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融资效率</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融资业务升级</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第十一条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贷款风险补贴</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对银行业金融机构向小微企业发放的贷款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无需抵押、质押或担保的贷款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第十二条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融资流程</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第十三条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财政部门职责</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牵头政府采购信用融资工作，做好政策引导和支持协调，为开展政府采购信用融资提供便利。向融资机构提供相关必要信息，推进政府采购中标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第十四条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融资机构主管部门职责</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第十五条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采购人职责</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第十六条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融资机构职责</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第十七条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供应商职责</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依法诚信参与政府采购活动，严格遵守国家法律、法规和政府采购合同约定，对投标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第十八条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采购人监管</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第十九条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融资机构监管</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供应商监管</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第二十一条</w:t>
      </w:r>
      <w:bookmarkStart w:id="1227" w:name="BM24558847_25425864_3"/>
      <w:bookmarkEnd w:id="1227"/>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相关单位及工作人员监管</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第二十二条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解释相关</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第二十三条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施行相关</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本办法自印发之日起施行。市财政局、市金融办2013年12月9日印发的《关于开展中小企业政府采购信用担保及融资试点工作的通知》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成财采〔2013〕200号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同时废止。</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以下简称《暂行办法》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，制定本实施方案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以下简称《实施方案》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以下简称供应商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相关部门和单位采取多种方式积极宣传《暂行办法》和《实施方案》，落实财政部门、融资机构主管部门、采购人、融资机构等职责任务，明确各项工作目标任务，确保成都市级政府采购信用融资工作有序推进。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政府采购信用融资实施方案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包括授信政策、融资产品、贷款利率及其它优惠措施、业务流程及各环节办结时间、联系方式等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加强组织领导。</w:t>
      </w:r>
      <w:r>
        <w:rPr>
          <w:rFonts w:hint="eastAsia" w:ascii="宋体" w:hAnsi="宋体" w:eastAsia="宋体" w:cs="宋体"/>
          <w:color w:val="auto"/>
          <w:kern w:val="0"/>
          <w:sz w:val="24"/>
          <w:szCs w:val="24"/>
          <w:highlight w:val="none"/>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color w:val="auto"/>
          <w:sz w:val="24"/>
          <w:szCs w:val="24"/>
          <w:highlight w:val="none"/>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注重协调配合。</w:t>
      </w:r>
      <w:r>
        <w:rPr>
          <w:rFonts w:hint="eastAsia" w:ascii="宋体" w:hAnsi="宋体" w:eastAsia="宋体" w:cs="宋体"/>
          <w:color w:val="auto"/>
          <w:kern w:val="0"/>
          <w:sz w:val="24"/>
          <w:szCs w:val="24"/>
          <w:highlight w:val="none"/>
        </w:rPr>
        <w:t>市财政局、中国人民银行成都分行营业管理部及采购人</w:t>
      </w:r>
      <w:r>
        <w:rPr>
          <w:rFonts w:hint="eastAsia" w:ascii="宋体" w:hAnsi="宋体" w:eastAsia="宋体" w:cs="宋体"/>
          <w:color w:val="auto"/>
          <w:sz w:val="24"/>
          <w:szCs w:val="24"/>
          <w:highlight w:val="none"/>
        </w:rPr>
        <w:t>等有关单位要根据职责任务，及时协调解决工作中遇到的困难和问题，积极</w:t>
      </w:r>
      <w:r>
        <w:rPr>
          <w:rFonts w:hint="eastAsia" w:ascii="宋体" w:hAnsi="宋体" w:eastAsia="宋体" w:cs="宋体"/>
          <w:color w:val="auto"/>
          <w:kern w:val="0"/>
          <w:sz w:val="24"/>
          <w:szCs w:val="24"/>
          <w:highlight w:val="none"/>
        </w:rPr>
        <w:t>创造条件主动服务，帮助有融资需求、符合条件的供应商实现政府采购信用融资，促进中小企业又好又快发展</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9"/>
        <w:bidi w:val="0"/>
        <w:rPr>
          <w:rFonts w:hint="eastAsia" w:ascii="宋体" w:hAnsi="宋体" w:eastAsia="宋体" w:cs="宋体"/>
          <w:color w:val="auto"/>
          <w:highlight w:val="none"/>
          <w:lang w:val="en-US" w:eastAsia="zh-CN"/>
        </w:rPr>
      </w:pPr>
    </w:p>
    <w:p>
      <w:pPr>
        <w:pStyle w:val="49"/>
        <w:bidi w:val="0"/>
        <w:rPr>
          <w:rFonts w:hint="eastAsia" w:ascii="宋体" w:hAnsi="宋体" w:eastAsia="宋体" w:cs="宋体"/>
          <w:color w:val="auto"/>
          <w:highlight w:val="none"/>
        </w:rPr>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AA84BE-1291-496C-85D5-6F29A4501D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29493157-8FD4-45D6-8226-874F966D8F1F}"/>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3360;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4"/>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5"/>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75388"/>
    <w:multiLevelType w:val="singleLevel"/>
    <w:tmpl w:val="AD875388"/>
    <w:lvl w:ilvl="0" w:tentative="0">
      <w:start w:val="1"/>
      <w:numFmt w:val="decimal"/>
      <w:lvlText w:val="%1."/>
      <w:lvlJc w:val="left"/>
      <w:pPr>
        <w:tabs>
          <w:tab w:val="left" w:pos="312"/>
        </w:tabs>
      </w:pPr>
    </w:lvl>
  </w:abstractNum>
  <w:abstractNum w:abstractNumId="1">
    <w:nsid w:val="B04D8E0A"/>
    <w:multiLevelType w:val="multilevel"/>
    <w:tmpl w:val="B04D8E0A"/>
    <w:lvl w:ilvl="0" w:tentative="0">
      <w:start w:val="1"/>
      <w:numFmt w:val="chineseCounting"/>
      <w:pStyle w:val="24"/>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6"/>
      <w:suff w:val="nothing"/>
      <w:lvlText w:val="%2、"/>
      <w:lvlJc w:val="left"/>
      <w:pPr>
        <w:ind w:left="0" w:firstLine="0"/>
      </w:pPr>
      <w:rPr>
        <w:rFonts w:hint="eastAsia" w:ascii="宋体" w:hAnsi="宋体" w:eastAsia="宋体" w:cs="宋体"/>
      </w:rPr>
    </w:lvl>
    <w:lvl w:ilvl="2" w:tentative="0">
      <w:start w:val="1"/>
      <w:numFmt w:val="chineseCounting"/>
      <w:pStyle w:val="27"/>
      <w:suff w:val="nothing"/>
      <w:lvlText w:val="(%3)"/>
      <w:lvlJc w:val="left"/>
      <w:pPr>
        <w:tabs>
          <w:tab w:val="left" w:pos="0"/>
        </w:tabs>
        <w:ind w:left="0" w:firstLine="0"/>
      </w:pPr>
      <w:rPr>
        <w:rFonts w:hint="eastAsia" w:ascii="宋体" w:hAnsi="宋体" w:eastAsia="宋体" w:cs="宋体"/>
      </w:rPr>
    </w:lvl>
    <w:lvl w:ilvl="3" w:tentative="0">
      <w:start w:val="1"/>
      <w:numFmt w:val="decimal"/>
      <w:pStyle w:val="28"/>
      <w:suff w:val="nothing"/>
      <w:lvlText w:val="%4."/>
      <w:lvlJc w:val="left"/>
      <w:pPr>
        <w:tabs>
          <w:tab w:val="left" w:pos="0"/>
        </w:tabs>
        <w:ind w:left="0" w:firstLine="0"/>
      </w:pPr>
      <w:rPr>
        <w:rFonts w:hint="eastAsia" w:ascii="宋体" w:hAnsi="宋体" w:eastAsia="宋体" w:cs="宋体"/>
      </w:rPr>
    </w:lvl>
    <w:lvl w:ilvl="4" w:tentative="0">
      <w:start w:val="1"/>
      <w:numFmt w:val="decimal"/>
      <w:pStyle w:val="30"/>
      <w:suff w:val="nothing"/>
      <w:lvlText w:val="%4.%5"/>
      <w:lvlJc w:val="left"/>
      <w:pPr>
        <w:ind w:left="0" w:firstLine="0"/>
      </w:pPr>
      <w:rPr>
        <w:rFonts w:hint="eastAsia" w:ascii="宋体" w:hAnsi="宋体" w:eastAsia="宋体" w:cs="宋体"/>
      </w:rPr>
    </w:lvl>
    <w:lvl w:ilvl="5" w:tentative="0">
      <w:start w:val="1"/>
      <w:numFmt w:val="decimal"/>
      <w:pStyle w:val="31"/>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7F53590"/>
    <w:multiLevelType w:val="multilevel"/>
    <w:tmpl w:val="C7F53590"/>
    <w:lvl w:ilvl="0" w:tentative="0">
      <w:start w:val="1"/>
      <w:numFmt w:val="decimal"/>
      <w:pStyle w:val="42"/>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43"/>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44"/>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CA240A61"/>
    <w:multiLevelType w:val="singleLevel"/>
    <w:tmpl w:val="CA240A61"/>
    <w:lvl w:ilvl="0" w:tentative="0">
      <w:start w:val="1"/>
      <w:numFmt w:val="chineseCounting"/>
      <w:pStyle w:val="70"/>
      <w:suff w:val="nothing"/>
      <w:lvlText w:val="(%1)"/>
      <w:lvlJc w:val="left"/>
      <w:pPr>
        <w:ind w:left="0" w:firstLine="0"/>
      </w:pPr>
      <w:rPr>
        <w:rFonts w:hint="eastAsia"/>
      </w:rPr>
    </w:lvl>
  </w:abstractNum>
  <w:abstractNum w:abstractNumId="4">
    <w:nsid w:val="D2F3B81A"/>
    <w:multiLevelType w:val="singleLevel"/>
    <w:tmpl w:val="D2F3B81A"/>
    <w:lvl w:ilvl="0" w:tentative="0">
      <w:start w:val="1"/>
      <w:numFmt w:val="chineseCounting"/>
      <w:pStyle w:val="46"/>
      <w:suff w:val="nothing"/>
      <w:lvlText w:val="%1、"/>
      <w:lvlJc w:val="left"/>
      <w:pPr>
        <w:ind w:left="0" w:firstLine="0"/>
      </w:pPr>
      <w:rPr>
        <w:rFonts w:hint="eastAsia"/>
      </w:rPr>
    </w:lvl>
  </w:abstractNum>
  <w:abstractNum w:abstractNumId="5">
    <w:nsid w:val="DCCDE3B6"/>
    <w:multiLevelType w:val="singleLevel"/>
    <w:tmpl w:val="DCCDE3B6"/>
    <w:lvl w:ilvl="0" w:tentative="0">
      <w:start w:val="1"/>
      <w:numFmt w:val="decimal"/>
      <w:lvlText w:val="%1"/>
      <w:lvlJc w:val="left"/>
      <w:pPr>
        <w:tabs>
          <w:tab w:val="left" w:pos="0"/>
        </w:tabs>
        <w:ind w:left="0" w:leftChars="0" w:firstLine="0" w:firstLineChars="0"/>
      </w:pPr>
      <w:rPr>
        <w:rFonts w:hint="default"/>
      </w:rPr>
    </w:lvl>
  </w:abstractNum>
  <w:abstractNum w:abstractNumId="6">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7"/>
      <w:suff w:val="nothing"/>
      <w:lvlText w:val="(%2)"/>
      <w:lvlJc w:val="left"/>
      <w:pPr>
        <w:ind w:left="0" w:firstLine="0"/>
      </w:pPr>
      <w:rPr>
        <w:rFonts w:hint="eastAsia" w:ascii="宋体" w:hAnsi="宋体" w:eastAsia="宋体" w:cs="宋体"/>
        <w:b w:val="0"/>
        <w:bCs w:val="0"/>
      </w:rPr>
    </w:lvl>
    <w:lvl w:ilvl="2" w:tentative="0">
      <w:start w:val="1"/>
      <w:numFmt w:val="decimal"/>
      <w:pStyle w:val="39"/>
      <w:suff w:val="nothing"/>
      <w:lvlText w:val="%3."/>
      <w:lvlJc w:val="left"/>
      <w:pPr>
        <w:ind w:left="0" w:firstLine="0"/>
      </w:pPr>
      <w:rPr>
        <w:rFonts w:hint="eastAsia" w:ascii="宋体" w:hAnsi="宋体" w:eastAsia="宋体" w:cs="宋体"/>
      </w:rPr>
    </w:lvl>
    <w:lvl w:ilvl="3" w:tentative="0">
      <w:start w:val="1"/>
      <w:numFmt w:val="decimal"/>
      <w:pStyle w:val="40"/>
      <w:suff w:val="nothing"/>
      <w:lvlText w:val="%3.%4"/>
      <w:lvlJc w:val="left"/>
      <w:pPr>
        <w:ind w:left="0" w:firstLine="0"/>
      </w:pPr>
      <w:rPr>
        <w:rFonts w:hint="eastAsia" w:ascii="宋体" w:hAnsi="宋体" w:eastAsia="宋体" w:cs="宋体"/>
      </w:rPr>
    </w:lvl>
    <w:lvl w:ilvl="4" w:tentative="0">
      <w:start w:val="1"/>
      <w:numFmt w:val="decimal"/>
      <w:pStyle w:val="41"/>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7">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8">
    <w:nsid w:val="F900F314"/>
    <w:multiLevelType w:val="singleLevel"/>
    <w:tmpl w:val="F900F314"/>
    <w:lvl w:ilvl="0" w:tentative="0">
      <w:start w:val="1"/>
      <w:numFmt w:val="chineseCounting"/>
      <w:suff w:val="nothing"/>
      <w:lvlText w:val="%1、"/>
      <w:lvlJc w:val="left"/>
      <w:rPr>
        <w:rFonts w:hint="eastAsia"/>
      </w:rPr>
    </w:lvl>
  </w:abstractNum>
  <w:abstractNum w:abstractNumId="9">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10">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11">
    <w:nsid w:val="0D3DD0CB"/>
    <w:multiLevelType w:val="singleLevel"/>
    <w:tmpl w:val="0D3DD0CB"/>
    <w:lvl w:ilvl="0" w:tentative="0">
      <w:start w:val="1"/>
      <w:numFmt w:val="decimal"/>
      <w:lvlText w:val="%1."/>
      <w:lvlJc w:val="left"/>
      <w:pPr>
        <w:tabs>
          <w:tab w:val="left" w:pos="312"/>
        </w:tabs>
      </w:pPr>
    </w:lvl>
  </w:abstractNum>
  <w:abstractNum w:abstractNumId="12">
    <w:nsid w:val="322BB7B1"/>
    <w:multiLevelType w:val="singleLevel"/>
    <w:tmpl w:val="322BB7B1"/>
    <w:lvl w:ilvl="0" w:tentative="0">
      <w:start w:val="1"/>
      <w:numFmt w:val="decimal"/>
      <w:lvlText w:val="%1."/>
      <w:lvlJc w:val="left"/>
      <w:pPr>
        <w:tabs>
          <w:tab w:val="left" w:pos="312"/>
        </w:tabs>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5912557E"/>
    <w:multiLevelType w:val="singleLevel"/>
    <w:tmpl w:val="5912557E"/>
    <w:lvl w:ilvl="0" w:tentative="0">
      <w:start w:val="1"/>
      <w:numFmt w:val="chineseCounting"/>
      <w:suff w:val="nothing"/>
      <w:lvlText w:val="%1、"/>
      <w:lvlJc w:val="left"/>
      <w:rPr>
        <w:rFonts w:hint="eastAsia"/>
      </w:rPr>
    </w:lvl>
  </w:abstractNum>
  <w:abstractNum w:abstractNumId="15">
    <w:nsid w:val="5D053081"/>
    <w:multiLevelType w:val="singleLevel"/>
    <w:tmpl w:val="5D053081"/>
    <w:lvl w:ilvl="0" w:tentative="0">
      <w:start w:val="1"/>
      <w:numFmt w:val="chineseCounting"/>
      <w:suff w:val="nothing"/>
      <w:lvlText w:val="%1、"/>
      <w:lvlJc w:val="left"/>
      <w:pPr>
        <w:ind w:left="0" w:firstLine="420"/>
      </w:pPr>
      <w:rPr>
        <w:rFonts w:hint="eastAsia"/>
      </w:rPr>
    </w:lvl>
  </w:abstractNum>
  <w:num w:numId="1">
    <w:abstractNumId w:val="6"/>
  </w:num>
  <w:num w:numId="2">
    <w:abstractNumId w:val="1"/>
  </w:num>
  <w:num w:numId="3">
    <w:abstractNumId w:val="13"/>
  </w:num>
  <w:num w:numId="4">
    <w:abstractNumId w:val="2"/>
  </w:num>
  <w:num w:numId="5">
    <w:abstractNumId w:val="4"/>
  </w:num>
  <w:num w:numId="6">
    <w:abstractNumId w:val="3"/>
  </w:num>
  <w:num w:numId="7">
    <w:abstractNumId w:val="10"/>
  </w:num>
  <w:num w:numId="8">
    <w:abstractNumId w:val="5"/>
  </w:num>
  <w:num w:numId="9">
    <w:abstractNumId w:val="14"/>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552F1"/>
    <w:rsid w:val="00071F90"/>
    <w:rsid w:val="00080967"/>
    <w:rsid w:val="00083410"/>
    <w:rsid w:val="00083A85"/>
    <w:rsid w:val="000A22EE"/>
    <w:rsid w:val="000B25B6"/>
    <w:rsid w:val="000D7DD0"/>
    <w:rsid w:val="0010191C"/>
    <w:rsid w:val="001025A9"/>
    <w:rsid w:val="0010309E"/>
    <w:rsid w:val="0012071D"/>
    <w:rsid w:val="00127F82"/>
    <w:rsid w:val="00152049"/>
    <w:rsid w:val="00172A27"/>
    <w:rsid w:val="001747EE"/>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46B27"/>
    <w:rsid w:val="00353E82"/>
    <w:rsid w:val="00396369"/>
    <w:rsid w:val="003B2228"/>
    <w:rsid w:val="003C13E4"/>
    <w:rsid w:val="003D21F1"/>
    <w:rsid w:val="003E1DCC"/>
    <w:rsid w:val="003F4651"/>
    <w:rsid w:val="00410967"/>
    <w:rsid w:val="00411E40"/>
    <w:rsid w:val="00415E21"/>
    <w:rsid w:val="0042186C"/>
    <w:rsid w:val="00445ADF"/>
    <w:rsid w:val="0046727E"/>
    <w:rsid w:val="00482071"/>
    <w:rsid w:val="00483674"/>
    <w:rsid w:val="004861AE"/>
    <w:rsid w:val="00486D20"/>
    <w:rsid w:val="00495036"/>
    <w:rsid w:val="004A6781"/>
    <w:rsid w:val="004A7D40"/>
    <w:rsid w:val="004B4092"/>
    <w:rsid w:val="004E0FDD"/>
    <w:rsid w:val="004F1325"/>
    <w:rsid w:val="004F2F95"/>
    <w:rsid w:val="00506600"/>
    <w:rsid w:val="00526D76"/>
    <w:rsid w:val="00551430"/>
    <w:rsid w:val="00554499"/>
    <w:rsid w:val="00557A19"/>
    <w:rsid w:val="005601DD"/>
    <w:rsid w:val="00570E40"/>
    <w:rsid w:val="00573162"/>
    <w:rsid w:val="005F3F05"/>
    <w:rsid w:val="0060449E"/>
    <w:rsid w:val="006058A4"/>
    <w:rsid w:val="006109FE"/>
    <w:rsid w:val="00614BF4"/>
    <w:rsid w:val="00616B6E"/>
    <w:rsid w:val="00633858"/>
    <w:rsid w:val="00670841"/>
    <w:rsid w:val="006708EE"/>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35973"/>
    <w:rsid w:val="00850B71"/>
    <w:rsid w:val="0085639C"/>
    <w:rsid w:val="008738BD"/>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73102"/>
    <w:rsid w:val="00990893"/>
    <w:rsid w:val="009C43E6"/>
    <w:rsid w:val="009D01D2"/>
    <w:rsid w:val="009E1E4F"/>
    <w:rsid w:val="009F5992"/>
    <w:rsid w:val="00A23AFB"/>
    <w:rsid w:val="00A3273B"/>
    <w:rsid w:val="00A466E6"/>
    <w:rsid w:val="00A47F1F"/>
    <w:rsid w:val="00A75A1A"/>
    <w:rsid w:val="00A837A5"/>
    <w:rsid w:val="00A95C07"/>
    <w:rsid w:val="00AA51C1"/>
    <w:rsid w:val="00AB65CA"/>
    <w:rsid w:val="00AB67D8"/>
    <w:rsid w:val="00AC2F78"/>
    <w:rsid w:val="00AC5E59"/>
    <w:rsid w:val="00AF3998"/>
    <w:rsid w:val="00B07B2E"/>
    <w:rsid w:val="00B31CC3"/>
    <w:rsid w:val="00B90629"/>
    <w:rsid w:val="00BA2262"/>
    <w:rsid w:val="00BA69F4"/>
    <w:rsid w:val="00BA6D13"/>
    <w:rsid w:val="00BB299F"/>
    <w:rsid w:val="00BE1766"/>
    <w:rsid w:val="00BF4E9E"/>
    <w:rsid w:val="00C00F81"/>
    <w:rsid w:val="00C17A63"/>
    <w:rsid w:val="00C35487"/>
    <w:rsid w:val="00C43BC1"/>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4CE9"/>
    <w:rsid w:val="00E7539A"/>
    <w:rsid w:val="00E83C3F"/>
    <w:rsid w:val="00E86078"/>
    <w:rsid w:val="00E87BB1"/>
    <w:rsid w:val="00E93F48"/>
    <w:rsid w:val="00E965F8"/>
    <w:rsid w:val="00EB31E1"/>
    <w:rsid w:val="00EC1D3C"/>
    <w:rsid w:val="00EE2E61"/>
    <w:rsid w:val="00EE2E62"/>
    <w:rsid w:val="00EF4699"/>
    <w:rsid w:val="00F025B2"/>
    <w:rsid w:val="00F0340D"/>
    <w:rsid w:val="00F140D0"/>
    <w:rsid w:val="00F22D2F"/>
    <w:rsid w:val="00F23715"/>
    <w:rsid w:val="00F32329"/>
    <w:rsid w:val="00F359AF"/>
    <w:rsid w:val="00F4295B"/>
    <w:rsid w:val="00F714C7"/>
    <w:rsid w:val="00F9177B"/>
    <w:rsid w:val="01164975"/>
    <w:rsid w:val="012746B9"/>
    <w:rsid w:val="012B76F3"/>
    <w:rsid w:val="012C44AA"/>
    <w:rsid w:val="013D1C8A"/>
    <w:rsid w:val="013F0F7C"/>
    <w:rsid w:val="01430BEC"/>
    <w:rsid w:val="01464694"/>
    <w:rsid w:val="015258FF"/>
    <w:rsid w:val="015357B9"/>
    <w:rsid w:val="01553CFE"/>
    <w:rsid w:val="01575A75"/>
    <w:rsid w:val="01733B27"/>
    <w:rsid w:val="01782F69"/>
    <w:rsid w:val="01876A1F"/>
    <w:rsid w:val="018F03FE"/>
    <w:rsid w:val="019377A3"/>
    <w:rsid w:val="01997BFD"/>
    <w:rsid w:val="019D624D"/>
    <w:rsid w:val="01A96BB6"/>
    <w:rsid w:val="01B763DC"/>
    <w:rsid w:val="01BC53AC"/>
    <w:rsid w:val="01C22242"/>
    <w:rsid w:val="01C91C5F"/>
    <w:rsid w:val="01D440FD"/>
    <w:rsid w:val="01E366FD"/>
    <w:rsid w:val="01EA4845"/>
    <w:rsid w:val="01EF249C"/>
    <w:rsid w:val="01FC54B7"/>
    <w:rsid w:val="02132164"/>
    <w:rsid w:val="02195753"/>
    <w:rsid w:val="02223C50"/>
    <w:rsid w:val="022E6BF1"/>
    <w:rsid w:val="023372E3"/>
    <w:rsid w:val="0234353E"/>
    <w:rsid w:val="02362CC5"/>
    <w:rsid w:val="02665FD5"/>
    <w:rsid w:val="02676F4A"/>
    <w:rsid w:val="026D704D"/>
    <w:rsid w:val="02735026"/>
    <w:rsid w:val="027655B6"/>
    <w:rsid w:val="02792F82"/>
    <w:rsid w:val="02825F13"/>
    <w:rsid w:val="028430AA"/>
    <w:rsid w:val="028879D9"/>
    <w:rsid w:val="02964ADD"/>
    <w:rsid w:val="02A14D74"/>
    <w:rsid w:val="02AD29C6"/>
    <w:rsid w:val="02B43DAD"/>
    <w:rsid w:val="02C668D1"/>
    <w:rsid w:val="02DC1FED"/>
    <w:rsid w:val="02DD3DF1"/>
    <w:rsid w:val="02E247AD"/>
    <w:rsid w:val="02E3266E"/>
    <w:rsid w:val="02F13434"/>
    <w:rsid w:val="02F71628"/>
    <w:rsid w:val="03033784"/>
    <w:rsid w:val="030B01F1"/>
    <w:rsid w:val="03110BB0"/>
    <w:rsid w:val="031C70D4"/>
    <w:rsid w:val="0321449C"/>
    <w:rsid w:val="034547E6"/>
    <w:rsid w:val="03486A36"/>
    <w:rsid w:val="034C555B"/>
    <w:rsid w:val="034D5EB3"/>
    <w:rsid w:val="0350391F"/>
    <w:rsid w:val="035619A6"/>
    <w:rsid w:val="036D31EC"/>
    <w:rsid w:val="036E7CB0"/>
    <w:rsid w:val="03770FAA"/>
    <w:rsid w:val="037D0A35"/>
    <w:rsid w:val="039261BA"/>
    <w:rsid w:val="03941692"/>
    <w:rsid w:val="03A10074"/>
    <w:rsid w:val="03B331F8"/>
    <w:rsid w:val="03C23BAF"/>
    <w:rsid w:val="03C40ABE"/>
    <w:rsid w:val="03C73EF9"/>
    <w:rsid w:val="03D316D3"/>
    <w:rsid w:val="03D44A43"/>
    <w:rsid w:val="03D60077"/>
    <w:rsid w:val="03E3449B"/>
    <w:rsid w:val="03F050BD"/>
    <w:rsid w:val="03F7077E"/>
    <w:rsid w:val="03FB00F1"/>
    <w:rsid w:val="03FC155B"/>
    <w:rsid w:val="04027210"/>
    <w:rsid w:val="04053316"/>
    <w:rsid w:val="040922A3"/>
    <w:rsid w:val="041E23EC"/>
    <w:rsid w:val="042222D7"/>
    <w:rsid w:val="042876CA"/>
    <w:rsid w:val="042E0EC7"/>
    <w:rsid w:val="0431295A"/>
    <w:rsid w:val="043D3A3C"/>
    <w:rsid w:val="044D771D"/>
    <w:rsid w:val="044F225E"/>
    <w:rsid w:val="0453127A"/>
    <w:rsid w:val="0462655C"/>
    <w:rsid w:val="04671AF4"/>
    <w:rsid w:val="0467789F"/>
    <w:rsid w:val="046D5DE0"/>
    <w:rsid w:val="046F52E9"/>
    <w:rsid w:val="047B1E84"/>
    <w:rsid w:val="04802939"/>
    <w:rsid w:val="04841778"/>
    <w:rsid w:val="04873C0F"/>
    <w:rsid w:val="04892F7A"/>
    <w:rsid w:val="04A1495E"/>
    <w:rsid w:val="04A44D8E"/>
    <w:rsid w:val="04B830C1"/>
    <w:rsid w:val="04DE5CC1"/>
    <w:rsid w:val="04F17FCA"/>
    <w:rsid w:val="04F4393C"/>
    <w:rsid w:val="04F51041"/>
    <w:rsid w:val="04FB6CA5"/>
    <w:rsid w:val="04FF4175"/>
    <w:rsid w:val="05044AF9"/>
    <w:rsid w:val="050C088E"/>
    <w:rsid w:val="051304B1"/>
    <w:rsid w:val="05204AF2"/>
    <w:rsid w:val="05232BB3"/>
    <w:rsid w:val="053C2598"/>
    <w:rsid w:val="05401A25"/>
    <w:rsid w:val="05533444"/>
    <w:rsid w:val="055B54C4"/>
    <w:rsid w:val="055D3FA1"/>
    <w:rsid w:val="056059F7"/>
    <w:rsid w:val="056D77F4"/>
    <w:rsid w:val="057C1154"/>
    <w:rsid w:val="0586026D"/>
    <w:rsid w:val="059771FE"/>
    <w:rsid w:val="05AA6018"/>
    <w:rsid w:val="05AA6ECF"/>
    <w:rsid w:val="05B55267"/>
    <w:rsid w:val="05C14E93"/>
    <w:rsid w:val="05EE7A21"/>
    <w:rsid w:val="05F74FD6"/>
    <w:rsid w:val="06015BFD"/>
    <w:rsid w:val="06166C5B"/>
    <w:rsid w:val="06167B46"/>
    <w:rsid w:val="061A703B"/>
    <w:rsid w:val="06292793"/>
    <w:rsid w:val="06364822"/>
    <w:rsid w:val="06371D5C"/>
    <w:rsid w:val="063902D9"/>
    <w:rsid w:val="0644691C"/>
    <w:rsid w:val="06473E71"/>
    <w:rsid w:val="064C13DA"/>
    <w:rsid w:val="064C5DA0"/>
    <w:rsid w:val="06563A2F"/>
    <w:rsid w:val="06607022"/>
    <w:rsid w:val="06640B64"/>
    <w:rsid w:val="06657762"/>
    <w:rsid w:val="066D09E8"/>
    <w:rsid w:val="066D20E0"/>
    <w:rsid w:val="06791870"/>
    <w:rsid w:val="068341DC"/>
    <w:rsid w:val="06884418"/>
    <w:rsid w:val="068C41F6"/>
    <w:rsid w:val="0698222A"/>
    <w:rsid w:val="06AB7088"/>
    <w:rsid w:val="06B220B1"/>
    <w:rsid w:val="06C14990"/>
    <w:rsid w:val="06C255FB"/>
    <w:rsid w:val="06C466BB"/>
    <w:rsid w:val="06C66564"/>
    <w:rsid w:val="06C67079"/>
    <w:rsid w:val="06DC4238"/>
    <w:rsid w:val="06E91B3A"/>
    <w:rsid w:val="06E93471"/>
    <w:rsid w:val="06F23D1E"/>
    <w:rsid w:val="06FF392B"/>
    <w:rsid w:val="07057562"/>
    <w:rsid w:val="070E0BA1"/>
    <w:rsid w:val="0715101A"/>
    <w:rsid w:val="07284CFD"/>
    <w:rsid w:val="072A238A"/>
    <w:rsid w:val="073A1C46"/>
    <w:rsid w:val="073B634E"/>
    <w:rsid w:val="073C2D1E"/>
    <w:rsid w:val="074C58DC"/>
    <w:rsid w:val="075615A8"/>
    <w:rsid w:val="07641D0D"/>
    <w:rsid w:val="07662674"/>
    <w:rsid w:val="0767483A"/>
    <w:rsid w:val="076E785E"/>
    <w:rsid w:val="076F5C7C"/>
    <w:rsid w:val="077309BA"/>
    <w:rsid w:val="07945FAF"/>
    <w:rsid w:val="07A31B05"/>
    <w:rsid w:val="07AD3ABB"/>
    <w:rsid w:val="07B077CA"/>
    <w:rsid w:val="07B11440"/>
    <w:rsid w:val="07B42784"/>
    <w:rsid w:val="07C40FCD"/>
    <w:rsid w:val="07D879E1"/>
    <w:rsid w:val="07DF1979"/>
    <w:rsid w:val="07E0507A"/>
    <w:rsid w:val="07E761B7"/>
    <w:rsid w:val="080F372F"/>
    <w:rsid w:val="081A6BAD"/>
    <w:rsid w:val="08273974"/>
    <w:rsid w:val="082A73B9"/>
    <w:rsid w:val="082F56F4"/>
    <w:rsid w:val="08372ED5"/>
    <w:rsid w:val="08400F85"/>
    <w:rsid w:val="084D1037"/>
    <w:rsid w:val="085049F9"/>
    <w:rsid w:val="085257EE"/>
    <w:rsid w:val="08541F2D"/>
    <w:rsid w:val="0854364F"/>
    <w:rsid w:val="08560593"/>
    <w:rsid w:val="0859235C"/>
    <w:rsid w:val="085A15A9"/>
    <w:rsid w:val="086379DD"/>
    <w:rsid w:val="086F1195"/>
    <w:rsid w:val="08795873"/>
    <w:rsid w:val="08796737"/>
    <w:rsid w:val="087D36E3"/>
    <w:rsid w:val="08885FE3"/>
    <w:rsid w:val="08903BD8"/>
    <w:rsid w:val="08A4283A"/>
    <w:rsid w:val="08B0513C"/>
    <w:rsid w:val="08B54488"/>
    <w:rsid w:val="08BE07C4"/>
    <w:rsid w:val="08C0336E"/>
    <w:rsid w:val="08C203AB"/>
    <w:rsid w:val="08C20DA2"/>
    <w:rsid w:val="08D539E3"/>
    <w:rsid w:val="08DB73B0"/>
    <w:rsid w:val="08DE1C47"/>
    <w:rsid w:val="08EC63BA"/>
    <w:rsid w:val="08EE6DAF"/>
    <w:rsid w:val="09131FB5"/>
    <w:rsid w:val="091D71CF"/>
    <w:rsid w:val="093B5F9E"/>
    <w:rsid w:val="093E60E8"/>
    <w:rsid w:val="09474FBC"/>
    <w:rsid w:val="094D4667"/>
    <w:rsid w:val="096B20A4"/>
    <w:rsid w:val="09704EF2"/>
    <w:rsid w:val="09734147"/>
    <w:rsid w:val="097C2059"/>
    <w:rsid w:val="098B1201"/>
    <w:rsid w:val="098E57E7"/>
    <w:rsid w:val="09B024F6"/>
    <w:rsid w:val="09BF7005"/>
    <w:rsid w:val="09C32102"/>
    <w:rsid w:val="09CC3BAD"/>
    <w:rsid w:val="09E244D3"/>
    <w:rsid w:val="09E44204"/>
    <w:rsid w:val="09F410FD"/>
    <w:rsid w:val="0A141092"/>
    <w:rsid w:val="0A18215B"/>
    <w:rsid w:val="0A1C206E"/>
    <w:rsid w:val="0A1F3AFB"/>
    <w:rsid w:val="0A2D0238"/>
    <w:rsid w:val="0A3D4730"/>
    <w:rsid w:val="0A406793"/>
    <w:rsid w:val="0A4F2112"/>
    <w:rsid w:val="0A562EAD"/>
    <w:rsid w:val="0A61724E"/>
    <w:rsid w:val="0A84274C"/>
    <w:rsid w:val="0A88671B"/>
    <w:rsid w:val="0A8A4F8C"/>
    <w:rsid w:val="0A941E7B"/>
    <w:rsid w:val="0AA85816"/>
    <w:rsid w:val="0AAE20B2"/>
    <w:rsid w:val="0ABF45E0"/>
    <w:rsid w:val="0AD029E3"/>
    <w:rsid w:val="0AD06D46"/>
    <w:rsid w:val="0AD20D78"/>
    <w:rsid w:val="0AD95FEE"/>
    <w:rsid w:val="0AEB1D55"/>
    <w:rsid w:val="0AEF28BE"/>
    <w:rsid w:val="0AF66B05"/>
    <w:rsid w:val="0AFF39E9"/>
    <w:rsid w:val="0B030A0E"/>
    <w:rsid w:val="0B0F543F"/>
    <w:rsid w:val="0B165FCB"/>
    <w:rsid w:val="0B210D44"/>
    <w:rsid w:val="0B373A25"/>
    <w:rsid w:val="0B3B7F3C"/>
    <w:rsid w:val="0B490628"/>
    <w:rsid w:val="0B4A6D39"/>
    <w:rsid w:val="0B4D084E"/>
    <w:rsid w:val="0B5001FD"/>
    <w:rsid w:val="0B5D62E7"/>
    <w:rsid w:val="0B5E6C1B"/>
    <w:rsid w:val="0B685A51"/>
    <w:rsid w:val="0B780CAF"/>
    <w:rsid w:val="0B7C78A1"/>
    <w:rsid w:val="0B94665C"/>
    <w:rsid w:val="0B9B3CCE"/>
    <w:rsid w:val="0BA62356"/>
    <w:rsid w:val="0BC31E67"/>
    <w:rsid w:val="0BCF0D6E"/>
    <w:rsid w:val="0BD25244"/>
    <w:rsid w:val="0BDB390D"/>
    <w:rsid w:val="0BDD0790"/>
    <w:rsid w:val="0BDD4638"/>
    <w:rsid w:val="0BE3664B"/>
    <w:rsid w:val="0BF5093F"/>
    <w:rsid w:val="0BFD5229"/>
    <w:rsid w:val="0C0238B6"/>
    <w:rsid w:val="0C095932"/>
    <w:rsid w:val="0C0D7E74"/>
    <w:rsid w:val="0C154760"/>
    <w:rsid w:val="0C166DCE"/>
    <w:rsid w:val="0C312359"/>
    <w:rsid w:val="0C546A20"/>
    <w:rsid w:val="0C593A85"/>
    <w:rsid w:val="0C6658D4"/>
    <w:rsid w:val="0C6963A5"/>
    <w:rsid w:val="0C6F3B75"/>
    <w:rsid w:val="0C8C56BB"/>
    <w:rsid w:val="0CA53F3A"/>
    <w:rsid w:val="0CA87886"/>
    <w:rsid w:val="0CAF57CC"/>
    <w:rsid w:val="0CBE1C5E"/>
    <w:rsid w:val="0CC06DC6"/>
    <w:rsid w:val="0CC12374"/>
    <w:rsid w:val="0CC41DD4"/>
    <w:rsid w:val="0CDA6B23"/>
    <w:rsid w:val="0CDC30C8"/>
    <w:rsid w:val="0CDC5AA4"/>
    <w:rsid w:val="0CDF4AFB"/>
    <w:rsid w:val="0CE94F94"/>
    <w:rsid w:val="0CED067B"/>
    <w:rsid w:val="0CFC6488"/>
    <w:rsid w:val="0D0309E4"/>
    <w:rsid w:val="0D1158BC"/>
    <w:rsid w:val="0D1D5BF4"/>
    <w:rsid w:val="0D2E7CDA"/>
    <w:rsid w:val="0D4A61F6"/>
    <w:rsid w:val="0D5A4C9D"/>
    <w:rsid w:val="0D5E127F"/>
    <w:rsid w:val="0D606801"/>
    <w:rsid w:val="0D636535"/>
    <w:rsid w:val="0D777890"/>
    <w:rsid w:val="0D790005"/>
    <w:rsid w:val="0D793F75"/>
    <w:rsid w:val="0D8323B8"/>
    <w:rsid w:val="0D8D3FD0"/>
    <w:rsid w:val="0D8F3E2F"/>
    <w:rsid w:val="0D900001"/>
    <w:rsid w:val="0D947DEF"/>
    <w:rsid w:val="0D9960F6"/>
    <w:rsid w:val="0D9B3836"/>
    <w:rsid w:val="0D9D017D"/>
    <w:rsid w:val="0DA153BE"/>
    <w:rsid w:val="0DB87064"/>
    <w:rsid w:val="0DC80D06"/>
    <w:rsid w:val="0DD37D4F"/>
    <w:rsid w:val="0DD86494"/>
    <w:rsid w:val="0DE1509D"/>
    <w:rsid w:val="0DED31DA"/>
    <w:rsid w:val="0DFF2925"/>
    <w:rsid w:val="0E037125"/>
    <w:rsid w:val="0E105F97"/>
    <w:rsid w:val="0E16133B"/>
    <w:rsid w:val="0E1D4C94"/>
    <w:rsid w:val="0E1E01D2"/>
    <w:rsid w:val="0E237ECF"/>
    <w:rsid w:val="0E2C57A6"/>
    <w:rsid w:val="0E2E1FA8"/>
    <w:rsid w:val="0E3B4AAC"/>
    <w:rsid w:val="0E444E25"/>
    <w:rsid w:val="0E4528EE"/>
    <w:rsid w:val="0E463F6A"/>
    <w:rsid w:val="0E4860E1"/>
    <w:rsid w:val="0E4E095A"/>
    <w:rsid w:val="0E533A22"/>
    <w:rsid w:val="0E5400D2"/>
    <w:rsid w:val="0E563ECD"/>
    <w:rsid w:val="0E5D50FC"/>
    <w:rsid w:val="0E5E0B3E"/>
    <w:rsid w:val="0E6260ED"/>
    <w:rsid w:val="0E7073F8"/>
    <w:rsid w:val="0E7A7A80"/>
    <w:rsid w:val="0E801240"/>
    <w:rsid w:val="0E8D2FCC"/>
    <w:rsid w:val="0E987FFF"/>
    <w:rsid w:val="0E9944EA"/>
    <w:rsid w:val="0E9C4E00"/>
    <w:rsid w:val="0EA06123"/>
    <w:rsid w:val="0EB331E4"/>
    <w:rsid w:val="0EB5186D"/>
    <w:rsid w:val="0EBF43D5"/>
    <w:rsid w:val="0ED11030"/>
    <w:rsid w:val="0ED45063"/>
    <w:rsid w:val="0ED629D9"/>
    <w:rsid w:val="0EDA6A03"/>
    <w:rsid w:val="0F090320"/>
    <w:rsid w:val="0F2464FE"/>
    <w:rsid w:val="0F3E4FBF"/>
    <w:rsid w:val="0F4527B9"/>
    <w:rsid w:val="0F491260"/>
    <w:rsid w:val="0F527A16"/>
    <w:rsid w:val="0F552295"/>
    <w:rsid w:val="0F555D3E"/>
    <w:rsid w:val="0F5A4C3C"/>
    <w:rsid w:val="0F680516"/>
    <w:rsid w:val="0F7331B1"/>
    <w:rsid w:val="0F830CF9"/>
    <w:rsid w:val="0F835DE1"/>
    <w:rsid w:val="0F8807D3"/>
    <w:rsid w:val="0F8C7EC0"/>
    <w:rsid w:val="0F985025"/>
    <w:rsid w:val="0FA715B7"/>
    <w:rsid w:val="0FAB0735"/>
    <w:rsid w:val="0FAB73CF"/>
    <w:rsid w:val="0FBA136E"/>
    <w:rsid w:val="0FC67596"/>
    <w:rsid w:val="0FD23538"/>
    <w:rsid w:val="0FEA7956"/>
    <w:rsid w:val="0FED5FE3"/>
    <w:rsid w:val="0FF2619D"/>
    <w:rsid w:val="0FF36E45"/>
    <w:rsid w:val="0FF82BFE"/>
    <w:rsid w:val="10002E78"/>
    <w:rsid w:val="100A088B"/>
    <w:rsid w:val="100D6538"/>
    <w:rsid w:val="100E0F3F"/>
    <w:rsid w:val="10126035"/>
    <w:rsid w:val="101E557F"/>
    <w:rsid w:val="10220902"/>
    <w:rsid w:val="10280FE6"/>
    <w:rsid w:val="1030329B"/>
    <w:rsid w:val="10324889"/>
    <w:rsid w:val="10351C5D"/>
    <w:rsid w:val="10377484"/>
    <w:rsid w:val="10417AB4"/>
    <w:rsid w:val="104A41B1"/>
    <w:rsid w:val="1075299E"/>
    <w:rsid w:val="107921C2"/>
    <w:rsid w:val="107E07FE"/>
    <w:rsid w:val="10843C64"/>
    <w:rsid w:val="108B5C75"/>
    <w:rsid w:val="10927871"/>
    <w:rsid w:val="109B2457"/>
    <w:rsid w:val="10A86948"/>
    <w:rsid w:val="10BD4B6E"/>
    <w:rsid w:val="10C32E2F"/>
    <w:rsid w:val="10CA79BF"/>
    <w:rsid w:val="10DB6AC5"/>
    <w:rsid w:val="10E55858"/>
    <w:rsid w:val="10E8122E"/>
    <w:rsid w:val="10F16B8E"/>
    <w:rsid w:val="11002024"/>
    <w:rsid w:val="1101215E"/>
    <w:rsid w:val="1107086A"/>
    <w:rsid w:val="110A63B9"/>
    <w:rsid w:val="111508F5"/>
    <w:rsid w:val="112545FE"/>
    <w:rsid w:val="112673D2"/>
    <w:rsid w:val="11272A81"/>
    <w:rsid w:val="11343C71"/>
    <w:rsid w:val="113D2902"/>
    <w:rsid w:val="1140061F"/>
    <w:rsid w:val="11406900"/>
    <w:rsid w:val="1150476A"/>
    <w:rsid w:val="11511756"/>
    <w:rsid w:val="11563B20"/>
    <w:rsid w:val="115F619C"/>
    <w:rsid w:val="1166278E"/>
    <w:rsid w:val="1170636B"/>
    <w:rsid w:val="11791BDA"/>
    <w:rsid w:val="118151C6"/>
    <w:rsid w:val="119D25D7"/>
    <w:rsid w:val="11A3453B"/>
    <w:rsid w:val="11A5473B"/>
    <w:rsid w:val="11AA18AD"/>
    <w:rsid w:val="11B13A44"/>
    <w:rsid w:val="11B469EC"/>
    <w:rsid w:val="11B64B9D"/>
    <w:rsid w:val="11B70129"/>
    <w:rsid w:val="11BA3C77"/>
    <w:rsid w:val="11C34C5A"/>
    <w:rsid w:val="11C35EBE"/>
    <w:rsid w:val="11C949CA"/>
    <w:rsid w:val="11D27F85"/>
    <w:rsid w:val="11D7281B"/>
    <w:rsid w:val="11D93657"/>
    <w:rsid w:val="11E57CD7"/>
    <w:rsid w:val="11E62926"/>
    <w:rsid w:val="11E7019B"/>
    <w:rsid w:val="12041F1C"/>
    <w:rsid w:val="12126BE3"/>
    <w:rsid w:val="121350B0"/>
    <w:rsid w:val="121C2BD8"/>
    <w:rsid w:val="12244421"/>
    <w:rsid w:val="122641D1"/>
    <w:rsid w:val="123A15D8"/>
    <w:rsid w:val="124F40E9"/>
    <w:rsid w:val="125008BC"/>
    <w:rsid w:val="125B5D86"/>
    <w:rsid w:val="12691A6B"/>
    <w:rsid w:val="126F5ED9"/>
    <w:rsid w:val="12892C0E"/>
    <w:rsid w:val="1299328B"/>
    <w:rsid w:val="12A035E9"/>
    <w:rsid w:val="12A04B9A"/>
    <w:rsid w:val="12A30DA6"/>
    <w:rsid w:val="12A31A6A"/>
    <w:rsid w:val="12BB714B"/>
    <w:rsid w:val="12C23A7C"/>
    <w:rsid w:val="12D37006"/>
    <w:rsid w:val="12D919C1"/>
    <w:rsid w:val="12E94BA8"/>
    <w:rsid w:val="12EF7344"/>
    <w:rsid w:val="12F55F70"/>
    <w:rsid w:val="130A3353"/>
    <w:rsid w:val="131B0C66"/>
    <w:rsid w:val="13332E61"/>
    <w:rsid w:val="13380869"/>
    <w:rsid w:val="134A2083"/>
    <w:rsid w:val="13585B2A"/>
    <w:rsid w:val="13615054"/>
    <w:rsid w:val="136E457E"/>
    <w:rsid w:val="136F6A51"/>
    <w:rsid w:val="13755EB2"/>
    <w:rsid w:val="1381155A"/>
    <w:rsid w:val="13877DCB"/>
    <w:rsid w:val="13887B1A"/>
    <w:rsid w:val="13961B0B"/>
    <w:rsid w:val="139F2E5E"/>
    <w:rsid w:val="13A23966"/>
    <w:rsid w:val="13A35911"/>
    <w:rsid w:val="13A407E7"/>
    <w:rsid w:val="13A47BFE"/>
    <w:rsid w:val="13B773EB"/>
    <w:rsid w:val="13C070DC"/>
    <w:rsid w:val="13C33F9D"/>
    <w:rsid w:val="13C4002F"/>
    <w:rsid w:val="13C82603"/>
    <w:rsid w:val="13E67824"/>
    <w:rsid w:val="13E84D13"/>
    <w:rsid w:val="13ED6898"/>
    <w:rsid w:val="13F46DFC"/>
    <w:rsid w:val="14093876"/>
    <w:rsid w:val="140C55EA"/>
    <w:rsid w:val="14166484"/>
    <w:rsid w:val="14197E9B"/>
    <w:rsid w:val="141D252C"/>
    <w:rsid w:val="142028B9"/>
    <w:rsid w:val="14242A9B"/>
    <w:rsid w:val="14293FDD"/>
    <w:rsid w:val="142B19AB"/>
    <w:rsid w:val="14335E33"/>
    <w:rsid w:val="14472E7F"/>
    <w:rsid w:val="144B5F53"/>
    <w:rsid w:val="145742EB"/>
    <w:rsid w:val="14593173"/>
    <w:rsid w:val="145D7218"/>
    <w:rsid w:val="14663754"/>
    <w:rsid w:val="1470604A"/>
    <w:rsid w:val="147A3327"/>
    <w:rsid w:val="147E7EFC"/>
    <w:rsid w:val="148056E8"/>
    <w:rsid w:val="148562C2"/>
    <w:rsid w:val="14857BC8"/>
    <w:rsid w:val="148A09EC"/>
    <w:rsid w:val="149E4122"/>
    <w:rsid w:val="14B510BC"/>
    <w:rsid w:val="14BE3BD0"/>
    <w:rsid w:val="14C772D4"/>
    <w:rsid w:val="14C91781"/>
    <w:rsid w:val="14CA588A"/>
    <w:rsid w:val="14CF2CA5"/>
    <w:rsid w:val="14D53920"/>
    <w:rsid w:val="14DB12B2"/>
    <w:rsid w:val="14E36FB1"/>
    <w:rsid w:val="14E453F1"/>
    <w:rsid w:val="14E60E10"/>
    <w:rsid w:val="14F20518"/>
    <w:rsid w:val="14F71157"/>
    <w:rsid w:val="15072773"/>
    <w:rsid w:val="15075411"/>
    <w:rsid w:val="15095839"/>
    <w:rsid w:val="151D60E3"/>
    <w:rsid w:val="151F2A96"/>
    <w:rsid w:val="1524211C"/>
    <w:rsid w:val="1530340C"/>
    <w:rsid w:val="15443470"/>
    <w:rsid w:val="155D44F6"/>
    <w:rsid w:val="1568195A"/>
    <w:rsid w:val="156825AE"/>
    <w:rsid w:val="157648A9"/>
    <w:rsid w:val="157D25F1"/>
    <w:rsid w:val="158013B3"/>
    <w:rsid w:val="15897466"/>
    <w:rsid w:val="158C012D"/>
    <w:rsid w:val="158D5643"/>
    <w:rsid w:val="159D2AA8"/>
    <w:rsid w:val="15A20E36"/>
    <w:rsid w:val="15AF1E97"/>
    <w:rsid w:val="15BC3A0F"/>
    <w:rsid w:val="15C11C13"/>
    <w:rsid w:val="15CF3C06"/>
    <w:rsid w:val="15CF6FF0"/>
    <w:rsid w:val="15D17D83"/>
    <w:rsid w:val="15E016A8"/>
    <w:rsid w:val="15E40909"/>
    <w:rsid w:val="15F97B47"/>
    <w:rsid w:val="16071DD9"/>
    <w:rsid w:val="1609222F"/>
    <w:rsid w:val="160C5D02"/>
    <w:rsid w:val="16184098"/>
    <w:rsid w:val="161F7166"/>
    <w:rsid w:val="16220D9F"/>
    <w:rsid w:val="1628366A"/>
    <w:rsid w:val="16290D5F"/>
    <w:rsid w:val="162C4C37"/>
    <w:rsid w:val="163409FD"/>
    <w:rsid w:val="164925E6"/>
    <w:rsid w:val="164C0B16"/>
    <w:rsid w:val="16564ED8"/>
    <w:rsid w:val="16695F27"/>
    <w:rsid w:val="166B2C03"/>
    <w:rsid w:val="166B2D98"/>
    <w:rsid w:val="167A093E"/>
    <w:rsid w:val="167E6CA3"/>
    <w:rsid w:val="167F4B95"/>
    <w:rsid w:val="168F2701"/>
    <w:rsid w:val="16962C25"/>
    <w:rsid w:val="169708B7"/>
    <w:rsid w:val="169D0E74"/>
    <w:rsid w:val="16A0455F"/>
    <w:rsid w:val="16BF5817"/>
    <w:rsid w:val="16C26B2D"/>
    <w:rsid w:val="16DB5435"/>
    <w:rsid w:val="16E135E7"/>
    <w:rsid w:val="16E21427"/>
    <w:rsid w:val="17033117"/>
    <w:rsid w:val="170C751B"/>
    <w:rsid w:val="17174AB2"/>
    <w:rsid w:val="17176555"/>
    <w:rsid w:val="172D1AAB"/>
    <w:rsid w:val="172F59B8"/>
    <w:rsid w:val="173C59AC"/>
    <w:rsid w:val="173F20E2"/>
    <w:rsid w:val="174F5DA2"/>
    <w:rsid w:val="177F62FA"/>
    <w:rsid w:val="17866843"/>
    <w:rsid w:val="178E0BAF"/>
    <w:rsid w:val="178E0E4C"/>
    <w:rsid w:val="178F26BA"/>
    <w:rsid w:val="17906430"/>
    <w:rsid w:val="17A76445"/>
    <w:rsid w:val="17A816D3"/>
    <w:rsid w:val="17C271C7"/>
    <w:rsid w:val="17C77396"/>
    <w:rsid w:val="17C802C3"/>
    <w:rsid w:val="17C84858"/>
    <w:rsid w:val="17D46671"/>
    <w:rsid w:val="17E25684"/>
    <w:rsid w:val="17E94BEE"/>
    <w:rsid w:val="17F558E5"/>
    <w:rsid w:val="17F7123E"/>
    <w:rsid w:val="17F93750"/>
    <w:rsid w:val="17FA253A"/>
    <w:rsid w:val="18071145"/>
    <w:rsid w:val="180D1861"/>
    <w:rsid w:val="18211619"/>
    <w:rsid w:val="1824021D"/>
    <w:rsid w:val="182727AA"/>
    <w:rsid w:val="182C3C1D"/>
    <w:rsid w:val="18463A37"/>
    <w:rsid w:val="186456CD"/>
    <w:rsid w:val="18690252"/>
    <w:rsid w:val="186921BE"/>
    <w:rsid w:val="186A253C"/>
    <w:rsid w:val="186B6507"/>
    <w:rsid w:val="186C2B04"/>
    <w:rsid w:val="187602DD"/>
    <w:rsid w:val="18764A71"/>
    <w:rsid w:val="18782953"/>
    <w:rsid w:val="18806E60"/>
    <w:rsid w:val="18906360"/>
    <w:rsid w:val="18921538"/>
    <w:rsid w:val="18960A15"/>
    <w:rsid w:val="189E12C3"/>
    <w:rsid w:val="189E32A4"/>
    <w:rsid w:val="18BA4F49"/>
    <w:rsid w:val="18BD055D"/>
    <w:rsid w:val="18BE27ED"/>
    <w:rsid w:val="18C04A46"/>
    <w:rsid w:val="18C4037B"/>
    <w:rsid w:val="18C56061"/>
    <w:rsid w:val="18CF6F08"/>
    <w:rsid w:val="18D764B0"/>
    <w:rsid w:val="18D92B7A"/>
    <w:rsid w:val="18DC1446"/>
    <w:rsid w:val="18E82CB1"/>
    <w:rsid w:val="18F4450F"/>
    <w:rsid w:val="18FF308F"/>
    <w:rsid w:val="19263C11"/>
    <w:rsid w:val="19364034"/>
    <w:rsid w:val="194B6D06"/>
    <w:rsid w:val="19580F07"/>
    <w:rsid w:val="196C060A"/>
    <w:rsid w:val="197226D6"/>
    <w:rsid w:val="1972381B"/>
    <w:rsid w:val="197B045A"/>
    <w:rsid w:val="19911370"/>
    <w:rsid w:val="199C4521"/>
    <w:rsid w:val="199E3D57"/>
    <w:rsid w:val="19A60597"/>
    <w:rsid w:val="19A748CE"/>
    <w:rsid w:val="19B53F29"/>
    <w:rsid w:val="19BB4AC7"/>
    <w:rsid w:val="19C81E16"/>
    <w:rsid w:val="19C90485"/>
    <w:rsid w:val="19D0425F"/>
    <w:rsid w:val="19ED1019"/>
    <w:rsid w:val="19F30FD0"/>
    <w:rsid w:val="19F34D14"/>
    <w:rsid w:val="19F90D6C"/>
    <w:rsid w:val="1A061C69"/>
    <w:rsid w:val="1A084634"/>
    <w:rsid w:val="1A084FA6"/>
    <w:rsid w:val="1A0931E6"/>
    <w:rsid w:val="1A0B22C7"/>
    <w:rsid w:val="1A146B09"/>
    <w:rsid w:val="1A1D39FB"/>
    <w:rsid w:val="1A2C6661"/>
    <w:rsid w:val="1A33410B"/>
    <w:rsid w:val="1A3D4066"/>
    <w:rsid w:val="1A422421"/>
    <w:rsid w:val="1A497AC2"/>
    <w:rsid w:val="1A5522FD"/>
    <w:rsid w:val="1A5846A0"/>
    <w:rsid w:val="1A5B75BD"/>
    <w:rsid w:val="1A5C1E8C"/>
    <w:rsid w:val="1A6307DF"/>
    <w:rsid w:val="1A684E92"/>
    <w:rsid w:val="1A6A3851"/>
    <w:rsid w:val="1A750BFC"/>
    <w:rsid w:val="1A7E2B00"/>
    <w:rsid w:val="1A8A4647"/>
    <w:rsid w:val="1A9723B6"/>
    <w:rsid w:val="1AA34AA6"/>
    <w:rsid w:val="1AA93183"/>
    <w:rsid w:val="1AAC781B"/>
    <w:rsid w:val="1AB44A07"/>
    <w:rsid w:val="1AD13FFB"/>
    <w:rsid w:val="1AD41623"/>
    <w:rsid w:val="1ADA1B4E"/>
    <w:rsid w:val="1AE83066"/>
    <w:rsid w:val="1AED05E1"/>
    <w:rsid w:val="1AF00F47"/>
    <w:rsid w:val="1AF046CF"/>
    <w:rsid w:val="1AF418C0"/>
    <w:rsid w:val="1B074284"/>
    <w:rsid w:val="1B152CDB"/>
    <w:rsid w:val="1B24725D"/>
    <w:rsid w:val="1B2B048F"/>
    <w:rsid w:val="1B301CAE"/>
    <w:rsid w:val="1B3A7BAD"/>
    <w:rsid w:val="1B4D4C2F"/>
    <w:rsid w:val="1B5752AC"/>
    <w:rsid w:val="1B5D75AD"/>
    <w:rsid w:val="1B605A24"/>
    <w:rsid w:val="1B67625B"/>
    <w:rsid w:val="1B6B336B"/>
    <w:rsid w:val="1B7F1C39"/>
    <w:rsid w:val="1B7F7BA2"/>
    <w:rsid w:val="1B857D11"/>
    <w:rsid w:val="1B8E1561"/>
    <w:rsid w:val="1B9369D7"/>
    <w:rsid w:val="1B940F60"/>
    <w:rsid w:val="1B94573C"/>
    <w:rsid w:val="1B9E5564"/>
    <w:rsid w:val="1BAF5377"/>
    <w:rsid w:val="1BCB3B13"/>
    <w:rsid w:val="1BEE1FC3"/>
    <w:rsid w:val="1BF015D4"/>
    <w:rsid w:val="1C19483C"/>
    <w:rsid w:val="1C213008"/>
    <w:rsid w:val="1C260736"/>
    <w:rsid w:val="1C3030F3"/>
    <w:rsid w:val="1C347AE7"/>
    <w:rsid w:val="1C3709C2"/>
    <w:rsid w:val="1C520A79"/>
    <w:rsid w:val="1C592E09"/>
    <w:rsid w:val="1C673791"/>
    <w:rsid w:val="1C6C036E"/>
    <w:rsid w:val="1C7320FC"/>
    <w:rsid w:val="1C73352D"/>
    <w:rsid w:val="1C783953"/>
    <w:rsid w:val="1C7F0A0D"/>
    <w:rsid w:val="1C842C05"/>
    <w:rsid w:val="1C883EE2"/>
    <w:rsid w:val="1C8A5704"/>
    <w:rsid w:val="1C993644"/>
    <w:rsid w:val="1CA30814"/>
    <w:rsid w:val="1CA411B8"/>
    <w:rsid w:val="1CA91C58"/>
    <w:rsid w:val="1CC97385"/>
    <w:rsid w:val="1CD11261"/>
    <w:rsid w:val="1CD8784D"/>
    <w:rsid w:val="1CF333E6"/>
    <w:rsid w:val="1CF361DB"/>
    <w:rsid w:val="1CFB0F6D"/>
    <w:rsid w:val="1D0055D9"/>
    <w:rsid w:val="1D0565E2"/>
    <w:rsid w:val="1D075E75"/>
    <w:rsid w:val="1D2122A1"/>
    <w:rsid w:val="1D2357FD"/>
    <w:rsid w:val="1D2D51F1"/>
    <w:rsid w:val="1D37486F"/>
    <w:rsid w:val="1D42071E"/>
    <w:rsid w:val="1D4856D1"/>
    <w:rsid w:val="1D486FBE"/>
    <w:rsid w:val="1D677324"/>
    <w:rsid w:val="1D6E2D29"/>
    <w:rsid w:val="1D8C6A7E"/>
    <w:rsid w:val="1D8D5C6C"/>
    <w:rsid w:val="1D8E167F"/>
    <w:rsid w:val="1DAE1935"/>
    <w:rsid w:val="1DB95872"/>
    <w:rsid w:val="1DC13873"/>
    <w:rsid w:val="1DC15568"/>
    <w:rsid w:val="1DC77F7C"/>
    <w:rsid w:val="1DD0335C"/>
    <w:rsid w:val="1DDA2974"/>
    <w:rsid w:val="1DE56026"/>
    <w:rsid w:val="1DFC3B16"/>
    <w:rsid w:val="1E1E21E7"/>
    <w:rsid w:val="1E214F2A"/>
    <w:rsid w:val="1E237736"/>
    <w:rsid w:val="1E2566DA"/>
    <w:rsid w:val="1E2A4527"/>
    <w:rsid w:val="1E2D48C4"/>
    <w:rsid w:val="1E32366D"/>
    <w:rsid w:val="1E3463A0"/>
    <w:rsid w:val="1E474E0D"/>
    <w:rsid w:val="1E510853"/>
    <w:rsid w:val="1E5C1BD8"/>
    <w:rsid w:val="1E635018"/>
    <w:rsid w:val="1E7177FA"/>
    <w:rsid w:val="1E814CED"/>
    <w:rsid w:val="1E8469F9"/>
    <w:rsid w:val="1E9C5BFF"/>
    <w:rsid w:val="1EBD66B4"/>
    <w:rsid w:val="1EC372E7"/>
    <w:rsid w:val="1ECC3FFD"/>
    <w:rsid w:val="1ED2384F"/>
    <w:rsid w:val="1EDD43FA"/>
    <w:rsid w:val="1EDF476D"/>
    <w:rsid w:val="1EEA697A"/>
    <w:rsid w:val="1EEC0C5C"/>
    <w:rsid w:val="1EF81203"/>
    <w:rsid w:val="1F176E60"/>
    <w:rsid w:val="1F2822B3"/>
    <w:rsid w:val="1F307D9D"/>
    <w:rsid w:val="1F3541C0"/>
    <w:rsid w:val="1F37018C"/>
    <w:rsid w:val="1F51433D"/>
    <w:rsid w:val="1F521E7C"/>
    <w:rsid w:val="1F532FA9"/>
    <w:rsid w:val="1F5500CB"/>
    <w:rsid w:val="1F7A140D"/>
    <w:rsid w:val="1F7C2D1B"/>
    <w:rsid w:val="1F8B69B5"/>
    <w:rsid w:val="1F8F0786"/>
    <w:rsid w:val="1F9A340A"/>
    <w:rsid w:val="1FAE4160"/>
    <w:rsid w:val="1FB31A5F"/>
    <w:rsid w:val="1FC97C87"/>
    <w:rsid w:val="1FCC023A"/>
    <w:rsid w:val="1FCC2DF5"/>
    <w:rsid w:val="1FDE3F49"/>
    <w:rsid w:val="1FE933AA"/>
    <w:rsid w:val="1FF468DA"/>
    <w:rsid w:val="1FF80057"/>
    <w:rsid w:val="1FFC3D78"/>
    <w:rsid w:val="200510D9"/>
    <w:rsid w:val="201051B9"/>
    <w:rsid w:val="201A2520"/>
    <w:rsid w:val="20241C77"/>
    <w:rsid w:val="2040794E"/>
    <w:rsid w:val="20460DDC"/>
    <w:rsid w:val="204D6F6C"/>
    <w:rsid w:val="20506C8E"/>
    <w:rsid w:val="207322E4"/>
    <w:rsid w:val="20781866"/>
    <w:rsid w:val="207F43D9"/>
    <w:rsid w:val="208A058B"/>
    <w:rsid w:val="209128E5"/>
    <w:rsid w:val="20A84AFD"/>
    <w:rsid w:val="20B336D0"/>
    <w:rsid w:val="20B95752"/>
    <w:rsid w:val="20D85658"/>
    <w:rsid w:val="20DA452F"/>
    <w:rsid w:val="20E40D06"/>
    <w:rsid w:val="20E70DDA"/>
    <w:rsid w:val="20EE5292"/>
    <w:rsid w:val="20EE7A98"/>
    <w:rsid w:val="20F012DA"/>
    <w:rsid w:val="20F91B22"/>
    <w:rsid w:val="2102118F"/>
    <w:rsid w:val="210370E2"/>
    <w:rsid w:val="210643F0"/>
    <w:rsid w:val="210E3524"/>
    <w:rsid w:val="210F494A"/>
    <w:rsid w:val="21107DFA"/>
    <w:rsid w:val="21126A1E"/>
    <w:rsid w:val="211A3117"/>
    <w:rsid w:val="211A6D38"/>
    <w:rsid w:val="211D6ED8"/>
    <w:rsid w:val="212150B8"/>
    <w:rsid w:val="21365E4F"/>
    <w:rsid w:val="21432762"/>
    <w:rsid w:val="215F5D66"/>
    <w:rsid w:val="217413CD"/>
    <w:rsid w:val="217627C5"/>
    <w:rsid w:val="21864314"/>
    <w:rsid w:val="21933051"/>
    <w:rsid w:val="219B228D"/>
    <w:rsid w:val="219C1847"/>
    <w:rsid w:val="219C7087"/>
    <w:rsid w:val="219D2205"/>
    <w:rsid w:val="21A2770F"/>
    <w:rsid w:val="21A97C41"/>
    <w:rsid w:val="21AA16FB"/>
    <w:rsid w:val="21AA3480"/>
    <w:rsid w:val="21AF4DC3"/>
    <w:rsid w:val="21B03F9D"/>
    <w:rsid w:val="21C06F92"/>
    <w:rsid w:val="21C84E9E"/>
    <w:rsid w:val="21CB5CF6"/>
    <w:rsid w:val="21E5632B"/>
    <w:rsid w:val="21E70736"/>
    <w:rsid w:val="21F143E4"/>
    <w:rsid w:val="21F718D2"/>
    <w:rsid w:val="220643AF"/>
    <w:rsid w:val="22077889"/>
    <w:rsid w:val="22104944"/>
    <w:rsid w:val="22121D33"/>
    <w:rsid w:val="2218661D"/>
    <w:rsid w:val="221A671C"/>
    <w:rsid w:val="2225695B"/>
    <w:rsid w:val="222B4A26"/>
    <w:rsid w:val="224C1EE4"/>
    <w:rsid w:val="224E5006"/>
    <w:rsid w:val="225608B6"/>
    <w:rsid w:val="225F4FD4"/>
    <w:rsid w:val="225F71CC"/>
    <w:rsid w:val="226E0F46"/>
    <w:rsid w:val="22794A39"/>
    <w:rsid w:val="227D33B1"/>
    <w:rsid w:val="227E489F"/>
    <w:rsid w:val="228516C9"/>
    <w:rsid w:val="228B3EFA"/>
    <w:rsid w:val="228B7D1B"/>
    <w:rsid w:val="22930AC2"/>
    <w:rsid w:val="22981B95"/>
    <w:rsid w:val="229A0584"/>
    <w:rsid w:val="22A469D6"/>
    <w:rsid w:val="22A51CFF"/>
    <w:rsid w:val="22B9400A"/>
    <w:rsid w:val="22BB1853"/>
    <w:rsid w:val="22D93FF1"/>
    <w:rsid w:val="22EE7034"/>
    <w:rsid w:val="230E7EA4"/>
    <w:rsid w:val="231B17F9"/>
    <w:rsid w:val="233A304E"/>
    <w:rsid w:val="2344186A"/>
    <w:rsid w:val="235511EA"/>
    <w:rsid w:val="235F5EC4"/>
    <w:rsid w:val="23690609"/>
    <w:rsid w:val="23691421"/>
    <w:rsid w:val="237A3E4E"/>
    <w:rsid w:val="237E1230"/>
    <w:rsid w:val="2386210B"/>
    <w:rsid w:val="238A29AB"/>
    <w:rsid w:val="238E1A8E"/>
    <w:rsid w:val="238F40D9"/>
    <w:rsid w:val="23933508"/>
    <w:rsid w:val="239504D4"/>
    <w:rsid w:val="23950A3C"/>
    <w:rsid w:val="23A44BC6"/>
    <w:rsid w:val="23A92C60"/>
    <w:rsid w:val="23B03FD9"/>
    <w:rsid w:val="23B55677"/>
    <w:rsid w:val="23BA7F5A"/>
    <w:rsid w:val="23C13739"/>
    <w:rsid w:val="23C71602"/>
    <w:rsid w:val="23CA5E72"/>
    <w:rsid w:val="23E11DA2"/>
    <w:rsid w:val="23E235B0"/>
    <w:rsid w:val="23E74E71"/>
    <w:rsid w:val="24044813"/>
    <w:rsid w:val="2428389C"/>
    <w:rsid w:val="2439617A"/>
    <w:rsid w:val="244E553B"/>
    <w:rsid w:val="245005B3"/>
    <w:rsid w:val="245B37BE"/>
    <w:rsid w:val="24661A7D"/>
    <w:rsid w:val="24746AEA"/>
    <w:rsid w:val="247905DE"/>
    <w:rsid w:val="24940315"/>
    <w:rsid w:val="249604BE"/>
    <w:rsid w:val="24A31E88"/>
    <w:rsid w:val="24AB131F"/>
    <w:rsid w:val="24BF08E2"/>
    <w:rsid w:val="24C504EE"/>
    <w:rsid w:val="24D14521"/>
    <w:rsid w:val="24E164AF"/>
    <w:rsid w:val="24E41B08"/>
    <w:rsid w:val="24E65466"/>
    <w:rsid w:val="24E71803"/>
    <w:rsid w:val="24E944A8"/>
    <w:rsid w:val="24EA091B"/>
    <w:rsid w:val="24F61130"/>
    <w:rsid w:val="24FB3B1A"/>
    <w:rsid w:val="24FC5064"/>
    <w:rsid w:val="24FE3964"/>
    <w:rsid w:val="25082314"/>
    <w:rsid w:val="250B6C88"/>
    <w:rsid w:val="250D16FB"/>
    <w:rsid w:val="250D27EF"/>
    <w:rsid w:val="25207316"/>
    <w:rsid w:val="25212B2C"/>
    <w:rsid w:val="25373204"/>
    <w:rsid w:val="253A1C68"/>
    <w:rsid w:val="253C7281"/>
    <w:rsid w:val="25401AF0"/>
    <w:rsid w:val="255A2BE4"/>
    <w:rsid w:val="255A4BBE"/>
    <w:rsid w:val="25627611"/>
    <w:rsid w:val="25636FED"/>
    <w:rsid w:val="25645A54"/>
    <w:rsid w:val="256733F0"/>
    <w:rsid w:val="25765EE6"/>
    <w:rsid w:val="25772EBB"/>
    <w:rsid w:val="257E28B8"/>
    <w:rsid w:val="2580322B"/>
    <w:rsid w:val="258167E3"/>
    <w:rsid w:val="25832019"/>
    <w:rsid w:val="25860C1E"/>
    <w:rsid w:val="259331FE"/>
    <w:rsid w:val="25957FF8"/>
    <w:rsid w:val="25A129C7"/>
    <w:rsid w:val="25A149AC"/>
    <w:rsid w:val="25AF3F32"/>
    <w:rsid w:val="25B22A3B"/>
    <w:rsid w:val="25BA2D11"/>
    <w:rsid w:val="25C654B7"/>
    <w:rsid w:val="25CC6A3A"/>
    <w:rsid w:val="25CE6BE3"/>
    <w:rsid w:val="25D97596"/>
    <w:rsid w:val="25E37902"/>
    <w:rsid w:val="25ED312E"/>
    <w:rsid w:val="25F044F9"/>
    <w:rsid w:val="25F74971"/>
    <w:rsid w:val="25F9627B"/>
    <w:rsid w:val="25FB0431"/>
    <w:rsid w:val="26040109"/>
    <w:rsid w:val="26060A54"/>
    <w:rsid w:val="26061962"/>
    <w:rsid w:val="260F672F"/>
    <w:rsid w:val="26110E03"/>
    <w:rsid w:val="26175540"/>
    <w:rsid w:val="262C2F3C"/>
    <w:rsid w:val="262C56B0"/>
    <w:rsid w:val="2642755C"/>
    <w:rsid w:val="26507D69"/>
    <w:rsid w:val="2658461C"/>
    <w:rsid w:val="26590788"/>
    <w:rsid w:val="265D1B10"/>
    <w:rsid w:val="26640280"/>
    <w:rsid w:val="266D04E0"/>
    <w:rsid w:val="2676220B"/>
    <w:rsid w:val="267976EA"/>
    <w:rsid w:val="267D0DD4"/>
    <w:rsid w:val="267F6564"/>
    <w:rsid w:val="26900E65"/>
    <w:rsid w:val="269308F5"/>
    <w:rsid w:val="26A0140A"/>
    <w:rsid w:val="26A31DBF"/>
    <w:rsid w:val="26A4480F"/>
    <w:rsid w:val="26AB027E"/>
    <w:rsid w:val="26BA3C53"/>
    <w:rsid w:val="26BD3478"/>
    <w:rsid w:val="26C115C4"/>
    <w:rsid w:val="26CB5BEC"/>
    <w:rsid w:val="26CE7E81"/>
    <w:rsid w:val="26D17EE9"/>
    <w:rsid w:val="26D26B3A"/>
    <w:rsid w:val="26D51ADE"/>
    <w:rsid w:val="26E70819"/>
    <w:rsid w:val="26E72ED9"/>
    <w:rsid w:val="26F614FF"/>
    <w:rsid w:val="27004AEF"/>
    <w:rsid w:val="27085698"/>
    <w:rsid w:val="270B5410"/>
    <w:rsid w:val="271C1C54"/>
    <w:rsid w:val="271C6DEF"/>
    <w:rsid w:val="2722517B"/>
    <w:rsid w:val="2726309C"/>
    <w:rsid w:val="272D7547"/>
    <w:rsid w:val="27325E70"/>
    <w:rsid w:val="27341B93"/>
    <w:rsid w:val="27420834"/>
    <w:rsid w:val="27430D53"/>
    <w:rsid w:val="2743179B"/>
    <w:rsid w:val="274F06E6"/>
    <w:rsid w:val="27537702"/>
    <w:rsid w:val="27553494"/>
    <w:rsid w:val="27644968"/>
    <w:rsid w:val="27752950"/>
    <w:rsid w:val="278100F8"/>
    <w:rsid w:val="278B23EE"/>
    <w:rsid w:val="278C4A28"/>
    <w:rsid w:val="279C7ABE"/>
    <w:rsid w:val="27B52D32"/>
    <w:rsid w:val="27B55CAE"/>
    <w:rsid w:val="27BD43A5"/>
    <w:rsid w:val="27C22234"/>
    <w:rsid w:val="27CE4E03"/>
    <w:rsid w:val="27D254A2"/>
    <w:rsid w:val="27D30046"/>
    <w:rsid w:val="27D4336A"/>
    <w:rsid w:val="27DE4CA3"/>
    <w:rsid w:val="27F60128"/>
    <w:rsid w:val="280F761E"/>
    <w:rsid w:val="28100970"/>
    <w:rsid w:val="28130FC3"/>
    <w:rsid w:val="281D3390"/>
    <w:rsid w:val="28242AFE"/>
    <w:rsid w:val="28255646"/>
    <w:rsid w:val="282D4DA2"/>
    <w:rsid w:val="28352993"/>
    <w:rsid w:val="283F1E7D"/>
    <w:rsid w:val="283F6FC6"/>
    <w:rsid w:val="284576F3"/>
    <w:rsid w:val="284763CA"/>
    <w:rsid w:val="284C1CF1"/>
    <w:rsid w:val="284F2393"/>
    <w:rsid w:val="285259C3"/>
    <w:rsid w:val="285E68F8"/>
    <w:rsid w:val="286B729A"/>
    <w:rsid w:val="286F0F65"/>
    <w:rsid w:val="28810C2F"/>
    <w:rsid w:val="28821CD7"/>
    <w:rsid w:val="28832153"/>
    <w:rsid w:val="288C402F"/>
    <w:rsid w:val="2891552F"/>
    <w:rsid w:val="289F3CAC"/>
    <w:rsid w:val="28AF56E0"/>
    <w:rsid w:val="28BF2E88"/>
    <w:rsid w:val="28D321E2"/>
    <w:rsid w:val="28D36BF1"/>
    <w:rsid w:val="28E74484"/>
    <w:rsid w:val="28F364BD"/>
    <w:rsid w:val="29034D8E"/>
    <w:rsid w:val="290B0C0D"/>
    <w:rsid w:val="290D640A"/>
    <w:rsid w:val="291A4C7E"/>
    <w:rsid w:val="291F0427"/>
    <w:rsid w:val="29336FB4"/>
    <w:rsid w:val="293C79A7"/>
    <w:rsid w:val="293D2697"/>
    <w:rsid w:val="29454D6E"/>
    <w:rsid w:val="294F4DA4"/>
    <w:rsid w:val="295449EC"/>
    <w:rsid w:val="29554FB8"/>
    <w:rsid w:val="295D23DB"/>
    <w:rsid w:val="297172A8"/>
    <w:rsid w:val="2983564B"/>
    <w:rsid w:val="2986365A"/>
    <w:rsid w:val="298F2D60"/>
    <w:rsid w:val="29A4703D"/>
    <w:rsid w:val="29AF3FCC"/>
    <w:rsid w:val="29BE52CE"/>
    <w:rsid w:val="29CA7D6B"/>
    <w:rsid w:val="29CE6AED"/>
    <w:rsid w:val="29DB2E13"/>
    <w:rsid w:val="29DB795F"/>
    <w:rsid w:val="29E677D4"/>
    <w:rsid w:val="29EC2923"/>
    <w:rsid w:val="29F43C64"/>
    <w:rsid w:val="29FA25C8"/>
    <w:rsid w:val="29FD19B7"/>
    <w:rsid w:val="2A0D30D8"/>
    <w:rsid w:val="2A112438"/>
    <w:rsid w:val="2A1808B1"/>
    <w:rsid w:val="2A181440"/>
    <w:rsid w:val="2A1C72FC"/>
    <w:rsid w:val="2A232024"/>
    <w:rsid w:val="2A23375B"/>
    <w:rsid w:val="2A26647F"/>
    <w:rsid w:val="2A29188B"/>
    <w:rsid w:val="2A3F4296"/>
    <w:rsid w:val="2A43220E"/>
    <w:rsid w:val="2A6021EF"/>
    <w:rsid w:val="2A7A5040"/>
    <w:rsid w:val="2A7E74F9"/>
    <w:rsid w:val="2A89559E"/>
    <w:rsid w:val="2A94612D"/>
    <w:rsid w:val="2A9C5B40"/>
    <w:rsid w:val="2AA400F4"/>
    <w:rsid w:val="2AAC54BB"/>
    <w:rsid w:val="2AB11A39"/>
    <w:rsid w:val="2AB15325"/>
    <w:rsid w:val="2AB57FF9"/>
    <w:rsid w:val="2ABA6371"/>
    <w:rsid w:val="2AC329D5"/>
    <w:rsid w:val="2ACC151A"/>
    <w:rsid w:val="2ACC28DA"/>
    <w:rsid w:val="2AE11D66"/>
    <w:rsid w:val="2AE94B0E"/>
    <w:rsid w:val="2AEB102F"/>
    <w:rsid w:val="2AF14F00"/>
    <w:rsid w:val="2AFA0056"/>
    <w:rsid w:val="2AFA470A"/>
    <w:rsid w:val="2B012590"/>
    <w:rsid w:val="2B0C20F7"/>
    <w:rsid w:val="2B0C4EE1"/>
    <w:rsid w:val="2B0F5533"/>
    <w:rsid w:val="2B1B65B9"/>
    <w:rsid w:val="2B1F527C"/>
    <w:rsid w:val="2B22094C"/>
    <w:rsid w:val="2B2706A2"/>
    <w:rsid w:val="2B28252F"/>
    <w:rsid w:val="2B461FAE"/>
    <w:rsid w:val="2B4D31F0"/>
    <w:rsid w:val="2B4F71D5"/>
    <w:rsid w:val="2B527EE3"/>
    <w:rsid w:val="2B580D2F"/>
    <w:rsid w:val="2B595F47"/>
    <w:rsid w:val="2B5B08A7"/>
    <w:rsid w:val="2B5C1416"/>
    <w:rsid w:val="2B5E1A74"/>
    <w:rsid w:val="2B667187"/>
    <w:rsid w:val="2B7D4228"/>
    <w:rsid w:val="2B82321A"/>
    <w:rsid w:val="2B8B70C4"/>
    <w:rsid w:val="2B9576E2"/>
    <w:rsid w:val="2B9A4D5A"/>
    <w:rsid w:val="2BA41CAA"/>
    <w:rsid w:val="2BBD4491"/>
    <w:rsid w:val="2BBE79E4"/>
    <w:rsid w:val="2BC2082C"/>
    <w:rsid w:val="2BD25B6F"/>
    <w:rsid w:val="2BEC51D8"/>
    <w:rsid w:val="2BEE6C0E"/>
    <w:rsid w:val="2BEF1A87"/>
    <w:rsid w:val="2BFC6FD4"/>
    <w:rsid w:val="2C0368C6"/>
    <w:rsid w:val="2C05500E"/>
    <w:rsid w:val="2C1134D0"/>
    <w:rsid w:val="2C246940"/>
    <w:rsid w:val="2C290D81"/>
    <w:rsid w:val="2C2E78B5"/>
    <w:rsid w:val="2C3C1EC1"/>
    <w:rsid w:val="2C42462B"/>
    <w:rsid w:val="2C437300"/>
    <w:rsid w:val="2C4F6D41"/>
    <w:rsid w:val="2C5B41CA"/>
    <w:rsid w:val="2C75368A"/>
    <w:rsid w:val="2C7D17AB"/>
    <w:rsid w:val="2C8A1EDE"/>
    <w:rsid w:val="2C8A6306"/>
    <w:rsid w:val="2C9116B8"/>
    <w:rsid w:val="2CA423D8"/>
    <w:rsid w:val="2CA96082"/>
    <w:rsid w:val="2CB85977"/>
    <w:rsid w:val="2CBB5644"/>
    <w:rsid w:val="2CBE40F4"/>
    <w:rsid w:val="2CC44205"/>
    <w:rsid w:val="2CC55793"/>
    <w:rsid w:val="2CCF5DDE"/>
    <w:rsid w:val="2CDA3B55"/>
    <w:rsid w:val="2CDB0944"/>
    <w:rsid w:val="2CDC54D1"/>
    <w:rsid w:val="2CDD3EC5"/>
    <w:rsid w:val="2CE27267"/>
    <w:rsid w:val="2CE74D39"/>
    <w:rsid w:val="2CE8150A"/>
    <w:rsid w:val="2CF04B2B"/>
    <w:rsid w:val="2D016444"/>
    <w:rsid w:val="2D0B00A7"/>
    <w:rsid w:val="2D0B16C5"/>
    <w:rsid w:val="2D0D1E1A"/>
    <w:rsid w:val="2D12077C"/>
    <w:rsid w:val="2D131478"/>
    <w:rsid w:val="2D1715C6"/>
    <w:rsid w:val="2D1943ED"/>
    <w:rsid w:val="2D1D3D27"/>
    <w:rsid w:val="2D270FD0"/>
    <w:rsid w:val="2D277EFB"/>
    <w:rsid w:val="2D31047C"/>
    <w:rsid w:val="2D3136D3"/>
    <w:rsid w:val="2D3178DC"/>
    <w:rsid w:val="2D324DB9"/>
    <w:rsid w:val="2D4370D2"/>
    <w:rsid w:val="2D4E3F0C"/>
    <w:rsid w:val="2D5B4B27"/>
    <w:rsid w:val="2D5D08DD"/>
    <w:rsid w:val="2D636224"/>
    <w:rsid w:val="2D646B9E"/>
    <w:rsid w:val="2D6B244F"/>
    <w:rsid w:val="2D6B5D7F"/>
    <w:rsid w:val="2D700E9E"/>
    <w:rsid w:val="2D8D53A8"/>
    <w:rsid w:val="2D976683"/>
    <w:rsid w:val="2DB27C81"/>
    <w:rsid w:val="2DCD0958"/>
    <w:rsid w:val="2DD27CA8"/>
    <w:rsid w:val="2DDA0237"/>
    <w:rsid w:val="2DE35338"/>
    <w:rsid w:val="2E0019A3"/>
    <w:rsid w:val="2E0A7A05"/>
    <w:rsid w:val="2E194F3D"/>
    <w:rsid w:val="2E287B61"/>
    <w:rsid w:val="2E3E0198"/>
    <w:rsid w:val="2E3F0BEE"/>
    <w:rsid w:val="2E4652C5"/>
    <w:rsid w:val="2E4A28CA"/>
    <w:rsid w:val="2E560939"/>
    <w:rsid w:val="2E5A7CD6"/>
    <w:rsid w:val="2E5E648E"/>
    <w:rsid w:val="2E790DE1"/>
    <w:rsid w:val="2E7973ED"/>
    <w:rsid w:val="2E7C78DB"/>
    <w:rsid w:val="2E9123DB"/>
    <w:rsid w:val="2E9136EE"/>
    <w:rsid w:val="2E957101"/>
    <w:rsid w:val="2EBC5351"/>
    <w:rsid w:val="2EC56BE5"/>
    <w:rsid w:val="2EC77991"/>
    <w:rsid w:val="2EF00893"/>
    <w:rsid w:val="2EFB4F05"/>
    <w:rsid w:val="2EFF3E52"/>
    <w:rsid w:val="2F072879"/>
    <w:rsid w:val="2F08433B"/>
    <w:rsid w:val="2F0907FB"/>
    <w:rsid w:val="2F106CE3"/>
    <w:rsid w:val="2F136646"/>
    <w:rsid w:val="2F363704"/>
    <w:rsid w:val="2F3D037D"/>
    <w:rsid w:val="2F4C6D53"/>
    <w:rsid w:val="2F585AF3"/>
    <w:rsid w:val="2F61762B"/>
    <w:rsid w:val="2F843A53"/>
    <w:rsid w:val="2F8666AA"/>
    <w:rsid w:val="2F962068"/>
    <w:rsid w:val="2F9E5E02"/>
    <w:rsid w:val="2FA92ACB"/>
    <w:rsid w:val="2FBC4FC2"/>
    <w:rsid w:val="2FC12E0D"/>
    <w:rsid w:val="2FD3657A"/>
    <w:rsid w:val="2FD97BCD"/>
    <w:rsid w:val="2FDD2E8E"/>
    <w:rsid w:val="2FDE3125"/>
    <w:rsid w:val="2FED2320"/>
    <w:rsid w:val="2FF3094F"/>
    <w:rsid w:val="2FFD0C0E"/>
    <w:rsid w:val="30002D07"/>
    <w:rsid w:val="300711A8"/>
    <w:rsid w:val="300C3B90"/>
    <w:rsid w:val="300D20E3"/>
    <w:rsid w:val="300D36B9"/>
    <w:rsid w:val="300F0B89"/>
    <w:rsid w:val="301168CE"/>
    <w:rsid w:val="30173190"/>
    <w:rsid w:val="301B2328"/>
    <w:rsid w:val="30225849"/>
    <w:rsid w:val="303221E0"/>
    <w:rsid w:val="30322E5C"/>
    <w:rsid w:val="30396D27"/>
    <w:rsid w:val="3044003E"/>
    <w:rsid w:val="30453B9D"/>
    <w:rsid w:val="30505F70"/>
    <w:rsid w:val="305703F6"/>
    <w:rsid w:val="306212C1"/>
    <w:rsid w:val="30645CFC"/>
    <w:rsid w:val="30665E9F"/>
    <w:rsid w:val="306C7EFE"/>
    <w:rsid w:val="30794DF1"/>
    <w:rsid w:val="308321E0"/>
    <w:rsid w:val="309C3573"/>
    <w:rsid w:val="30A57B99"/>
    <w:rsid w:val="30B20E4E"/>
    <w:rsid w:val="30B97331"/>
    <w:rsid w:val="30BA6D63"/>
    <w:rsid w:val="30C23A3B"/>
    <w:rsid w:val="30CD5539"/>
    <w:rsid w:val="30EF0ED6"/>
    <w:rsid w:val="30F5319F"/>
    <w:rsid w:val="30F60F82"/>
    <w:rsid w:val="3104150C"/>
    <w:rsid w:val="310C35ED"/>
    <w:rsid w:val="310D031B"/>
    <w:rsid w:val="31186793"/>
    <w:rsid w:val="312B4918"/>
    <w:rsid w:val="31337DEB"/>
    <w:rsid w:val="313B3958"/>
    <w:rsid w:val="314874EB"/>
    <w:rsid w:val="31496258"/>
    <w:rsid w:val="314B0B14"/>
    <w:rsid w:val="31594B69"/>
    <w:rsid w:val="315B0515"/>
    <w:rsid w:val="31607AF5"/>
    <w:rsid w:val="31643BE3"/>
    <w:rsid w:val="316B6CEE"/>
    <w:rsid w:val="318022DD"/>
    <w:rsid w:val="31871366"/>
    <w:rsid w:val="31881438"/>
    <w:rsid w:val="318C3787"/>
    <w:rsid w:val="3191218A"/>
    <w:rsid w:val="31913A69"/>
    <w:rsid w:val="31922F44"/>
    <w:rsid w:val="319B3CAA"/>
    <w:rsid w:val="31A628A5"/>
    <w:rsid w:val="31B36D87"/>
    <w:rsid w:val="31BF0A20"/>
    <w:rsid w:val="31D774B8"/>
    <w:rsid w:val="31D85559"/>
    <w:rsid w:val="31DA7CEA"/>
    <w:rsid w:val="31ED3136"/>
    <w:rsid w:val="31FD406A"/>
    <w:rsid w:val="31FE2FC8"/>
    <w:rsid w:val="32066C5B"/>
    <w:rsid w:val="321330EB"/>
    <w:rsid w:val="32166511"/>
    <w:rsid w:val="3224393E"/>
    <w:rsid w:val="32246E4C"/>
    <w:rsid w:val="323709AC"/>
    <w:rsid w:val="323E4C46"/>
    <w:rsid w:val="32416ECE"/>
    <w:rsid w:val="324276A3"/>
    <w:rsid w:val="32440A8B"/>
    <w:rsid w:val="324639D0"/>
    <w:rsid w:val="325558B4"/>
    <w:rsid w:val="325719E8"/>
    <w:rsid w:val="326170B4"/>
    <w:rsid w:val="326429D0"/>
    <w:rsid w:val="3264531C"/>
    <w:rsid w:val="32665466"/>
    <w:rsid w:val="326B38EB"/>
    <w:rsid w:val="32795440"/>
    <w:rsid w:val="327C3B58"/>
    <w:rsid w:val="32892A4B"/>
    <w:rsid w:val="32A2433E"/>
    <w:rsid w:val="32AD2087"/>
    <w:rsid w:val="32B01DCF"/>
    <w:rsid w:val="32B53ABB"/>
    <w:rsid w:val="32B736BD"/>
    <w:rsid w:val="32B865A2"/>
    <w:rsid w:val="32C40CE5"/>
    <w:rsid w:val="32C62D0D"/>
    <w:rsid w:val="32EF6F5B"/>
    <w:rsid w:val="32F976CA"/>
    <w:rsid w:val="32FE6CC1"/>
    <w:rsid w:val="32FF3C80"/>
    <w:rsid w:val="330E2F53"/>
    <w:rsid w:val="33186345"/>
    <w:rsid w:val="331F2416"/>
    <w:rsid w:val="332705B3"/>
    <w:rsid w:val="33291ECF"/>
    <w:rsid w:val="332F2325"/>
    <w:rsid w:val="33302505"/>
    <w:rsid w:val="33435FD9"/>
    <w:rsid w:val="3345063A"/>
    <w:rsid w:val="334D2CFC"/>
    <w:rsid w:val="335121B9"/>
    <w:rsid w:val="336C307D"/>
    <w:rsid w:val="33780162"/>
    <w:rsid w:val="337829B0"/>
    <w:rsid w:val="337A0742"/>
    <w:rsid w:val="337C0BAD"/>
    <w:rsid w:val="338243FA"/>
    <w:rsid w:val="33835519"/>
    <w:rsid w:val="33835F8E"/>
    <w:rsid w:val="33907D95"/>
    <w:rsid w:val="33923816"/>
    <w:rsid w:val="33960E31"/>
    <w:rsid w:val="339766EC"/>
    <w:rsid w:val="33A13F7B"/>
    <w:rsid w:val="33A60EDE"/>
    <w:rsid w:val="33A8589B"/>
    <w:rsid w:val="33B95F01"/>
    <w:rsid w:val="33BD0F57"/>
    <w:rsid w:val="33C07D0A"/>
    <w:rsid w:val="33E170B6"/>
    <w:rsid w:val="33E93BB1"/>
    <w:rsid w:val="33F75282"/>
    <w:rsid w:val="33FB6405"/>
    <w:rsid w:val="3402383D"/>
    <w:rsid w:val="340A53E6"/>
    <w:rsid w:val="34110143"/>
    <w:rsid w:val="341931A8"/>
    <w:rsid w:val="34265666"/>
    <w:rsid w:val="3448506B"/>
    <w:rsid w:val="34517714"/>
    <w:rsid w:val="345B795C"/>
    <w:rsid w:val="3468005A"/>
    <w:rsid w:val="346E1392"/>
    <w:rsid w:val="3471648D"/>
    <w:rsid w:val="347362F2"/>
    <w:rsid w:val="34772FC6"/>
    <w:rsid w:val="348A1DB8"/>
    <w:rsid w:val="348D78C7"/>
    <w:rsid w:val="348E7E8F"/>
    <w:rsid w:val="348F0128"/>
    <w:rsid w:val="34934B68"/>
    <w:rsid w:val="34980D1E"/>
    <w:rsid w:val="349C67C9"/>
    <w:rsid w:val="34A03C19"/>
    <w:rsid w:val="34A22A5F"/>
    <w:rsid w:val="34B033E7"/>
    <w:rsid w:val="34BD350C"/>
    <w:rsid w:val="34BF19E9"/>
    <w:rsid w:val="34BF74EA"/>
    <w:rsid w:val="34CA71B6"/>
    <w:rsid w:val="34CE4260"/>
    <w:rsid w:val="34CF122C"/>
    <w:rsid w:val="34D766B0"/>
    <w:rsid w:val="34DB2B4D"/>
    <w:rsid w:val="34E16316"/>
    <w:rsid w:val="34E467C1"/>
    <w:rsid w:val="34E7342C"/>
    <w:rsid w:val="34E75F12"/>
    <w:rsid w:val="34F32500"/>
    <w:rsid w:val="350A5CF4"/>
    <w:rsid w:val="351F2F82"/>
    <w:rsid w:val="35270120"/>
    <w:rsid w:val="352E7C67"/>
    <w:rsid w:val="3535293E"/>
    <w:rsid w:val="3536502B"/>
    <w:rsid w:val="353665BD"/>
    <w:rsid w:val="35543E8E"/>
    <w:rsid w:val="35555A63"/>
    <w:rsid w:val="355A6497"/>
    <w:rsid w:val="355B65B2"/>
    <w:rsid w:val="355D4F81"/>
    <w:rsid w:val="355E50CF"/>
    <w:rsid w:val="35705AE4"/>
    <w:rsid w:val="357E004F"/>
    <w:rsid w:val="35824905"/>
    <w:rsid w:val="35843F72"/>
    <w:rsid w:val="35864933"/>
    <w:rsid w:val="358D2D1D"/>
    <w:rsid w:val="35970273"/>
    <w:rsid w:val="35A930DB"/>
    <w:rsid w:val="35B23542"/>
    <w:rsid w:val="35C213AC"/>
    <w:rsid w:val="35C74E47"/>
    <w:rsid w:val="35D945B0"/>
    <w:rsid w:val="35E24DF5"/>
    <w:rsid w:val="35FB6F9A"/>
    <w:rsid w:val="35FC0320"/>
    <w:rsid w:val="35FC78A0"/>
    <w:rsid w:val="35FF463C"/>
    <w:rsid w:val="360D4DD7"/>
    <w:rsid w:val="361124A4"/>
    <w:rsid w:val="36132896"/>
    <w:rsid w:val="36251E52"/>
    <w:rsid w:val="363407F7"/>
    <w:rsid w:val="3638445C"/>
    <w:rsid w:val="363B5B34"/>
    <w:rsid w:val="364D39D1"/>
    <w:rsid w:val="364F6F22"/>
    <w:rsid w:val="365612E8"/>
    <w:rsid w:val="36593DEE"/>
    <w:rsid w:val="366513C8"/>
    <w:rsid w:val="36835443"/>
    <w:rsid w:val="3686608C"/>
    <w:rsid w:val="369760BA"/>
    <w:rsid w:val="369769C2"/>
    <w:rsid w:val="36AD62EF"/>
    <w:rsid w:val="36CA1F25"/>
    <w:rsid w:val="36D00424"/>
    <w:rsid w:val="36D20CF6"/>
    <w:rsid w:val="36DE0951"/>
    <w:rsid w:val="36F20F6E"/>
    <w:rsid w:val="36F210B1"/>
    <w:rsid w:val="36F7353D"/>
    <w:rsid w:val="37007AC7"/>
    <w:rsid w:val="3702370D"/>
    <w:rsid w:val="37074341"/>
    <w:rsid w:val="371922ED"/>
    <w:rsid w:val="371F6EDC"/>
    <w:rsid w:val="372A09FA"/>
    <w:rsid w:val="37330115"/>
    <w:rsid w:val="373529C0"/>
    <w:rsid w:val="373C7B02"/>
    <w:rsid w:val="37525ACD"/>
    <w:rsid w:val="37527418"/>
    <w:rsid w:val="375A58F4"/>
    <w:rsid w:val="375F2D0C"/>
    <w:rsid w:val="376B4FBE"/>
    <w:rsid w:val="37807A1C"/>
    <w:rsid w:val="3783476E"/>
    <w:rsid w:val="378A0827"/>
    <w:rsid w:val="378E3BE4"/>
    <w:rsid w:val="3792490D"/>
    <w:rsid w:val="379837CA"/>
    <w:rsid w:val="37994C24"/>
    <w:rsid w:val="37A4695E"/>
    <w:rsid w:val="37AA79A3"/>
    <w:rsid w:val="37B253AC"/>
    <w:rsid w:val="37B73B33"/>
    <w:rsid w:val="37C87091"/>
    <w:rsid w:val="37D42B5B"/>
    <w:rsid w:val="37E8004A"/>
    <w:rsid w:val="37F048A0"/>
    <w:rsid w:val="37F27E10"/>
    <w:rsid w:val="37F637BC"/>
    <w:rsid w:val="3809306D"/>
    <w:rsid w:val="3827518E"/>
    <w:rsid w:val="382800C6"/>
    <w:rsid w:val="382932C1"/>
    <w:rsid w:val="382A51FA"/>
    <w:rsid w:val="382F4B08"/>
    <w:rsid w:val="38312A30"/>
    <w:rsid w:val="383210E4"/>
    <w:rsid w:val="383A36AD"/>
    <w:rsid w:val="38685430"/>
    <w:rsid w:val="386F52F6"/>
    <w:rsid w:val="387A0F64"/>
    <w:rsid w:val="388C418E"/>
    <w:rsid w:val="389C7387"/>
    <w:rsid w:val="389F5A0E"/>
    <w:rsid w:val="38A00A0E"/>
    <w:rsid w:val="38A23923"/>
    <w:rsid w:val="38B10FD3"/>
    <w:rsid w:val="38D342E9"/>
    <w:rsid w:val="38DC7DB9"/>
    <w:rsid w:val="38E05C36"/>
    <w:rsid w:val="38E12A24"/>
    <w:rsid w:val="38E7522B"/>
    <w:rsid w:val="38F172EC"/>
    <w:rsid w:val="38F407F9"/>
    <w:rsid w:val="3903466D"/>
    <w:rsid w:val="390D588D"/>
    <w:rsid w:val="39132FFD"/>
    <w:rsid w:val="391F5244"/>
    <w:rsid w:val="39225CE4"/>
    <w:rsid w:val="392635CF"/>
    <w:rsid w:val="392876F4"/>
    <w:rsid w:val="39293088"/>
    <w:rsid w:val="392A377B"/>
    <w:rsid w:val="393120C7"/>
    <w:rsid w:val="393E362D"/>
    <w:rsid w:val="394738B9"/>
    <w:rsid w:val="394F5526"/>
    <w:rsid w:val="39510E15"/>
    <w:rsid w:val="395E6FAD"/>
    <w:rsid w:val="396252C6"/>
    <w:rsid w:val="396D0C84"/>
    <w:rsid w:val="397F27D6"/>
    <w:rsid w:val="39902EFF"/>
    <w:rsid w:val="39980102"/>
    <w:rsid w:val="399E2214"/>
    <w:rsid w:val="39AE1A04"/>
    <w:rsid w:val="39B7679D"/>
    <w:rsid w:val="39C550B5"/>
    <w:rsid w:val="39D471ED"/>
    <w:rsid w:val="39D96824"/>
    <w:rsid w:val="39DC14C7"/>
    <w:rsid w:val="39DC32CF"/>
    <w:rsid w:val="39DC5B33"/>
    <w:rsid w:val="39E042AE"/>
    <w:rsid w:val="39EE2FFA"/>
    <w:rsid w:val="39EF3377"/>
    <w:rsid w:val="39F63CA8"/>
    <w:rsid w:val="39FE20B1"/>
    <w:rsid w:val="3A05253F"/>
    <w:rsid w:val="3A072065"/>
    <w:rsid w:val="3A0C76D7"/>
    <w:rsid w:val="3A1E479F"/>
    <w:rsid w:val="3A204AEC"/>
    <w:rsid w:val="3A2200E6"/>
    <w:rsid w:val="3A2C4438"/>
    <w:rsid w:val="3A2D4580"/>
    <w:rsid w:val="3A2E064C"/>
    <w:rsid w:val="3A2F2D33"/>
    <w:rsid w:val="3A3E0D77"/>
    <w:rsid w:val="3A4E34CE"/>
    <w:rsid w:val="3A504D64"/>
    <w:rsid w:val="3A5610C1"/>
    <w:rsid w:val="3A5E1139"/>
    <w:rsid w:val="3A616E99"/>
    <w:rsid w:val="3A6234A0"/>
    <w:rsid w:val="3A627DF4"/>
    <w:rsid w:val="3A6415F3"/>
    <w:rsid w:val="3A65699F"/>
    <w:rsid w:val="3A661519"/>
    <w:rsid w:val="3A791CD8"/>
    <w:rsid w:val="3A8760CD"/>
    <w:rsid w:val="3A9611FB"/>
    <w:rsid w:val="3AB06356"/>
    <w:rsid w:val="3AC03556"/>
    <w:rsid w:val="3AC20A9E"/>
    <w:rsid w:val="3ACA5143"/>
    <w:rsid w:val="3ACC7E1E"/>
    <w:rsid w:val="3ACD4BD8"/>
    <w:rsid w:val="3ADC43DB"/>
    <w:rsid w:val="3ADD6095"/>
    <w:rsid w:val="3ADF7E76"/>
    <w:rsid w:val="3AEB018A"/>
    <w:rsid w:val="3AF44D39"/>
    <w:rsid w:val="3AF62FB6"/>
    <w:rsid w:val="3B047A2C"/>
    <w:rsid w:val="3B072AE7"/>
    <w:rsid w:val="3B0C568B"/>
    <w:rsid w:val="3B101F22"/>
    <w:rsid w:val="3B124C1B"/>
    <w:rsid w:val="3B144FE3"/>
    <w:rsid w:val="3B171700"/>
    <w:rsid w:val="3B187F0C"/>
    <w:rsid w:val="3B19498D"/>
    <w:rsid w:val="3B2A3136"/>
    <w:rsid w:val="3B2B31E1"/>
    <w:rsid w:val="3B43293D"/>
    <w:rsid w:val="3B5F7EA1"/>
    <w:rsid w:val="3B622EBC"/>
    <w:rsid w:val="3B697A40"/>
    <w:rsid w:val="3B72035F"/>
    <w:rsid w:val="3B733F3E"/>
    <w:rsid w:val="3B7B6258"/>
    <w:rsid w:val="3B7C16F1"/>
    <w:rsid w:val="3B7D36E1"/>
    <w:rsid w:val="3B8A52AF"/>
    <w:rsid w:val="3B8A6A1F"/>
    <w:rsid w:val="3B9B6F13"/>
    <w:rsid w:val="3B9E014B"/>
    <w:rsid w:val="3BA35D0A"/>
    <w:rsid w:val="3BC05AA5"/>
    <w:rsid w:val="3BC52A79"/>
    <w:rsid w:val="3BD818AF"/>
    <w:rsid w:val="3BDA5C2F"/>
    <w:rsid w:val="3BE5760A"/>
    <w:rsid w:val="3BF472F5"/>
    <w:rsid w:val="3BF736C7"/>
    <w:rsid w:val="3C00354B"/>
    <w:rsid w:val="3C0D4D6C"/>
    <w:rsid w:val="3C0D7EBC"/>
    <w:rsid w:val="3C2B084A"/>
    <w:rsid w:val="3C35789E"/>
    <w:rsid w:val="3C3A17EA"/>
    <w:rsid w:val="3C3E6D60"/>
    <w:rsid w:val="3C420750"/>
    <w:rsid w:val="3C4D4524"/>
    <w:rsid w:val="3C5639DE"/>
    <w:rsid w:val="3C567958"/>
    <w:rsid w:val="3C571C05"/>
    <w:rsid w:val="3C64352B"/>
    <w:rsid w:val="3C670F6D"/>
    <w:rsid w:val="3C672E2C"/>
    <w:rsid w:val="3C6C29B4"/>
    <w:rsid w:val="3C764FC0"/>
    <w:rsid w:val="3C7C3EE4"/>
    <w:rsid w:val="3C8D58BE"/>
    <w:rsid w:val="3C8E5FED"/>
    <w:rsid w:val="3C9E20B1"/>
    <w:rsid w:val="3CB11375"/>
    <w:rsid w:val="3CB53A65"/>
    <w:rsid w:val="3CC102AC"/>
    <w:rsid w:val="3CC54280"/>
    <w:rsid w:val="3CD45BE5"/>
    <w:rsid w:val="3CE360F2"/>
    <w:rsid w:val="3CEE5C15"/>
    <w:rsid w:val="3CF019F0"/>
    <w:rsid w:val="3CF5496B"/>
    <w:rsid w:val="3D05055C"/>
    <w:rsid w:val="3D051809"/>
    <w:rsid w:val="3D115586"/>
    <w:rsid w:val="3D197739"/>
    <w:rsid w:val="3D234DD6"/>
    <w:rsid w:val="3D2B2775"/>
    <w:rsid w:val="3D43250F"/>
    <w:rsid w:val="3D4A132B"/>
    <w:rsid w:val="3D500385"/>
    <w:rsid w:val="3D5A44CB"/>
    <w:rsid w:val="3D6025AF"/>
    <w:rsid w:val="3D647CD4"/>
    <w:rsid w:val="3D770399"/>
    <w:rsid w:val="3D7B49B3"/>
    <w:rsid w:val="3D84454D"/>
    <w:rsid w:val="3D8D259B"/>
    <w:rsid w:val="3D8D2E74"/>
    <w:rsid w:val="3D940183"/>
    <w:rsid w:val="3D94569F"/>
    <w:rsid w:val="3DA0290D"/>
    <w:rsid w:val="3DB328C2"/>
    <w:rsid w:val="3DBC47EF"/>
    <w:rsid w:val="3DC625AE"/>
    <w:rsid w:val="3DC96C0F"/>
    <w:rsid w:val="3DCC12F0"/>
    <w:rsid w:val="3DCF3BE2"/>
    <w:rsid w:val="3DE41CDC"/>
    <w:rsid w:val="3DE85142"/>
    <w:rsid w:val="3DEB52FD"/>
    <w:rsid w:val="3E016AE6"/>
    <w:rsid w:val="3E070C1F"/>
    <w:rsid w:val="3E0A177A"/>
    <w:rsid w:val="3E163241"/>
    <w:rsid w:val="3E187D1F"/>
    <w:rsid w:val="3E1C3525"/>
    <w:rsid w:val="3E200B4B"/>
    <w:rsid w:val="3E225DB0"/>
    <w:rsid w:val="3E2E7210"/>
    <w:rsid w:val="3E343644"/>
    <w:rsid w:val="3E3B1FEB"/>
    <w:rsid w:val="3E3D069E"/>
    <w:rsid w:val="3E483582"/>
    <w:rsid w:val="3E5337D0"/>
    <w:rsid w:val="3E537DE4"/>
    <w:rsid w:val="3E554154"/>
    <w:rsid w:val="3E5702CC"/>
    <w:rsid w:val="3E5F165E"/>
    <w:rsid w:val="3E6A28BE"/>
    <w:rsid w:val="3E904009"/>
    <w:rsid w:val="3E996659"/>
    <w:rsid w:val="3E9E1FC0"/>
    <w:rsid w:val="3EA300A7"/>
    <w:rsid w:val="3EA71262"/>
    <w:rsid w:val="3EA83741"/>
    <w:rsid w:val="3EAB5E05"/>
    <w:rsid w:val="3EC3043C"/>
    <w:rsid w:val="3EC8679C"/>
    <w:rsid w:val="3ED84198"/>
    <w:rsid w:val="3EDB15AB"/>
    <w:rsid w:val="3EE5288B"/>
    <w:rsid w:val="3EE6303A"/>
    <w:rsid w:val="3EEC29DE"/>
    <w:rsid w:val="3EFB3143"/>
    <w:rsid w:val="3F027DD0"/>
    <w:rsid w:val="3F232D0D"/>
    <w:rsid w:val="3F2E1337"/>
    <w:rsid w:val="3F2E2497"/>
    <w:rsid w:val="3F3303B1"/>
    <w:rsid w:val="3F4A339D"/>
    <w:rsid w:val="3F523766"/>
    <w:rsid w:val="3F6249A7"/>
    <w:rsid w:val="3F66563F"/>
    <w:rsid w:val="3F6E7773"/>
    <w:rsid w:val="3F9005F5"/>
    <w:rsid w:val="3F920484"/>
    <w:rsid w:val="3F9F1936"/>
    <w:rsid w:val="3FA341B1"/>
    <w:rsid w:val="3FB56B0A"/>
    <w:rsid w:val="3FBF2FE8"/>
    <w:rsid w:val="3FD5287D"/>
    <w:rsid w:val="3FDE02D2"/>
    <w:rsid w:val="3FE53B71"/>
    <w:rsid w:val="4002562A"/>
    <w:rsid w:val="40047F76"/>
    <w:rsid w:val="400D69C0"/>
    <w:rsid w:val="401E1F88"/>
    <w:rsid w:val="40266EE6"/>
    <w:rsid w:val="402A20BC"/>
    <w:rsid w:val="402D166A"/>
    <w:rsid w:val="40337620"/>
    <w:rsid w:val="40417C97"/>
    <w:rsid w:val="40532C8A"/>
    <w:rsid w:val="405B0955"/>
    <w:rsid w:val="40653402"/>
    <w:rsid w:val="40654256"/>
    <w:rsid w:val="406E2D1C"/>
    <w:rsid w:val="407740C4"/>
    <w:rsid w:val="4077788C"/>
    <w:rsid w:val="407A1956"/>
    <w:rsid w:val="407C3AE5"/>
    <w:rsid w:val="407F1C79"/>
    <w:rsid w:val="40964ECD"/>
    <w:rsid w:val="409B660A"/>
    <w:rsid w:val="40A96AA7"/>
    <w:rsid w:val="40B04F11"/>
    <w:rsid w:val="40C27447"/>
    <w:rsid w:val="40D641E4"/>
    <w:rsid w:val="40DB2F7B"/>
    <w:rsid w:val="40DD7A15"/>
    <w:rsid w:val="40F32FE2"/>
    <w:rsid w:val="41080CDA"/>
    <w:rsid w:val="411266A1"/>
    <w:rsid w:val="413362A7"/>
    <w:rsid w:val="41423470"/>
    <w:rsid w:val="414311A9"/>
    <w:rsid w:val="41522971"/>
    <w:rsid w:val="415E7F1E"/>
    <w:rsid w:val="4163168B"/>
    <w:rsid w:val="41645CF3"/>
    <w:rsid w:val="41684FED"/>
    <w:rsid w:val="41705CAC"/>
    <w:rsid w:val="417428C6"/>
    <w:rsid w:val="417852FE"/>
    <w:rsid w:val="41792489"/>
    <w:rsid w:val="417C5F10"/>
    <w:rsid w:val="418718DD"/>
    <w:rsid w:val="41906206"/>
    <w:rsid w:val="41975AE6"/>
    <w:rsid w:val="419A0534"/>
    <w:rsid w:val="419B25C4"/>
    <w:rsid w:val="41A7672E"/>
    <w:rsid w:val="41AB30BD"/>
    <w:rsid w:val="41B1460C"/>
    <w:rsid w:val="41B229B0"/>
    <w:rsid w:val="41C16449"/>
    <w:rsid w:val="41CC25BC"/>
    <w:rsid w:val="41DA5C61"/>
    <w:rsid w:val="41DF3315"/>
    <w:rsid w:val="4205489F"/>
    <w:rsid w:val="42101E16"/>
    <w:rsid w:val="421337A1"/>
    <w:rsid w:val="42167D3F"/>
    <w:rsid w:val="422C1E62"/>
    <w:rsid w:val="42314F10"/>
    <w:rsid w:val="42321CC7"/>
    <w:rsid w:val="42363BC7"/>
    <w:rsid w:val="4238215D"/>
    <w:rsid w:val="42387696"/>
    <w:rsid w:val="42396559"/>
    <w:rsid w:val="425F263B"/>
    <w:rsid w:val="426E0E54"/>
    <w:rsid w:val="42746CC9"/>
    <w:rsid w:val="42782D0E"/>
    <w:rsid w:val="42812BEB"/>
    <w:rsid w:val="428B2A05"/>
    <w:rsid w:val="42917131"/>
    <w:rsid w:val="429372FA"/>
    <w:rsid w:val="429D6A07"/>
    <w:rsid w:val="42AF287A"/>
    <w:rsid w:val="42BE31F4"/>
    <w:rsid w:val="42C02765"/>
    <w:rsid w:val="42C50595"/>
    <w:rsid w:val="42D43679"/>
    <w:rsid w:val="42E13330"/>
    <w:rsid w:val="42E23496"/>
    <w:rsid w:val="42E87A95"/>
    <w:rsid w:val="42EA568A"/>
    <w:rsid w:val="43011432"/>
    <w:rsid w:val="430557C4"/>
    <w:rsid w:val="430934B1"/>
    <w:rsid w:val="431567DE"/>
    <w:rsid w:val="431B24E0"/>
    <w:rsid w:val="431F46B8"/>
    <w:rsid w:val="432018AD"/>
    <w:rsid w:val="432129E2"/>
    <w:rsid w:val="432B2309"/>
    <w:rsid w:val="433038FF"/>
    <w:rsid w:val="43441DEB"/>
    <w:rsid w:val="4345375F"/>
    <w:rsid w:val="434719A3"/>
    <w:rsid w:val="434B6E74"/>
    <w:rsid w:val="434D1638"/>
    <w:rsid w:val="4357300A"/>
    <w:rsid w:val="4358150D"/>
    <w:rsid w:val="43654953"/>
    <w:rsid w:val="43675239"/>
    <w:rsid w:val="436B28B9"/>
    <w:rsid w:val="436E7405"/>
    <w:rsid w:val="437300B3"/>
    <w:rsid w:val="4373507D"/>
    <w:rsid w:val="438028DB"/>
    <w:rsid w:val="43933756"/>
    <w:rsid w:val="439C453E"/>
    <w:rsid w:val="43AD1F2B"/>
    <w:rsid w:val="43AD6B2B"/>
    <w:rsid w:val="43B615DF"/>
    <w:rsid w:val="43BD0C79"/>
    <w:rsid w:val="43BE37EE"/>
    <w:rsid w:val="43BE4455"/>
    <w:rsid w:val="43BE6232"/>
    <w:rsid w:val="43D349E2"/>
    <w:rsid w:val="43D951C6"/>
    <w:rsid w:val="43D95633"/>
    <w:rsid w:val="43D962B5"/>
    <w:rsid w:val="43DA1716"/>
    <w:rsid w:val="43F5242E"/>
    <w:rsid w:val="43F83014"/>
    <w:rsid w:val="43F971B6"/>
    <w:rsid w:val="43FD514C"/>
    <w:rsid w:val="44011F00"/>
    <w:rsid w:val="4418441E"/>
    <w:rsid w:val="441C152A"/>
    <w:rsid w:val="441C3D45"/>
    <w:rsid w:val="442E7956"/>
    <w:rsid w:val="44385C50"/>
    <w:rsid w:val="44415838"/>
    <w:rsid w:val="444454E3"/>
    <w:rsid w:val="4449591C"/>
    <w:rsid w:val="446A038F"/>
    <w:rsid w:val="446F1124"/>
    <w:rsid w:val="447C700B"/>
    <w:rsid w:val="447F27A2"/>
    <w:rsid w:val="449141DD"/>
    <w:rsid w:val="44980201"/>
    <w:rsid w:val="44982F38"/>
    <w:rsid w:val="44A76CF6"/>
    <w:rsid w:val="44AD1FCC"/>
    <w:rsid w:val="44B63A6E"/>
    <w:rsid w:val="44BB49EB"/>
    <w:rsid w:val="44BD0353"/>
    <w:rsid w:val="44CD31E2"/>
    <w:rsid w:val="44CF33E8"/>
    <w:rsid w:val="44DD62F3"/>
    <w:rsid w:val="44DD7E70"/>
    <w:rsid w:val="44DF60D4"/>
    <w:rsid w:val="44E04549"/>
    <w:rsid w:val="44EE0F9A"/>
    <w:rsid w:val="44F32FB8"/>
    <w:rsid w:val="45020204"/>
    <w:rsid w:val="453A3D5A"/>
    <w:rsid w:val="45463765"/>
    <w:rsid w:val="454B22CD"/>
    <w:rsid w:val="45590D23"/>
    <w:rsid w:val="455E543A"/>
    <w:rsid w:val="456526DC"/>
    <w:rsid w:val="456B6252"/>
    <w:rsid w:val="457A6CE2"/>
    <w:rsid w:val="457D0759"/>
    <w:rsid w:val="458147CB"/>
    <w:rsid w:val="45827D03"/>
    <w:rsid w:val="45912560"/>
    <w:rsid w:val="45BA3A4B"/>
    <w:rsid w:val="45BC7A04"/>
    <w:rsid w:val="45C12494"/>
    <w:rsid w:val="45C168FC"/>
    <w:rsid w:val="45C16CCF"/>
    <w:rsid w:val="45C21B7D"/>
    <w:rsid w:val="45D83116"/>
    <w:rsid w:val="45E16DA8"/>
    <w:rsid w:val="45E42AD7"/>
    <w:rsid w:val="45E87552"/>
    <w:rsid w:val="45F349F5"/>
    <w:rsid w:val="45F439F4"/>
    <w:rsid w:val="45FE6567"/>
    <w:rsid w:val="46177320"/>
    <w:rsid w:val="46226875"/>
    <w:rsid w:val="46317741"/>
    <w:rsid w:val="463458E1"/>
    <w:rsid w:val="46494EB5"/>
    <w:rsid w:val="464B7691"/>
    <w:rsid w:val="464E05EB"/>
    <w:rsid w:val="464E7AA9"/>
    <w:rsid w:val="46506864"/>
    <w:rsid w:val="46510993"/>
    <w:rsid w:val="4660270E"/>
    <w:rsid w:val="46704B08"/>
    <w:rsid w:val="46755639"/>
    <w:rsid w:val="467A3682"/>
    <w:rsid w:val="468A7785"/>
    <w:rsid w:val="46A35984"/>
    <w:rsid w:val="46A80D82"/>
    <w:rsid w:val="46AC3599"/>
    <w:rsid w:val="46AC4B9C"/>
    <w:rsid w:val="46AD46D2"/>
    <w:rsid w:val="46B20228"/>
    <w:rsid w:val="46B26810"/>
    <w:rsid w:val="46BB7BAE"/>
    <w:rsid w:val="46BF304B"/>
    <w:rsid w:val="46CB3B16"/>
    <w:rsid w:val="46D22F1F"/>
    <w:rsid w:val="46E94533"/>
    <w:rsid w:val="46E950E6"/>
    <w:rsid w:val="46E97115"/>
    <w:rsid w:val="46EA62AD"/>
    <w:rsid w:val="46F575B9"/>
    <w:rsid w:val="46F831D6"/>
    <w:rsid w:val="46F913A1"/>
    <w:rsid w:val="46FF6008"/>
    <w:rsid w:val="470457E6"/>
    <w:rsid w:val="47166A87"/>
    <w:rsid w:val="47185071"/>
    <w:rsid w:val="472530E4"/>
    <w:rsid w:val="47307DD7"/>
    <w:rsid w:val="473C1065"/>
    <w:rsid w:val="473C1E11"/>
    <w:rsid w:val="473F409F"/>
    <w:rsid w:val="47411EB9"/>
    <w:rsid w:val="4741268A"/>
    <w:rsid w:val="47496A9E"/>
    <w:rsid w:val="474C23A8"/>
    <w:rsid w:val="474F412F"/>
    <w:rsid w:val="475029D2"/>
    <w:rsid w:val="475603F6"/>
    <w:rsid w:val="47646FB7"/>
    <w:rsid w:val="476D58D9"/>
    <w:rsid w:val="47722A18"/>
    <w:rsid w:val="47736929"/>
    <w:rsid w:val="47741D0C"/>
    <w:rsid w:val="47763265"/>
    <w:rsid w:val="47876B9F"/>
    <w:rsid w:val="479236A7"/>
    <w:rsid w:val="47953EA1"/>
    <w:rsid w:val="47A213C0"/>
    <w:rsid w:val="47AD7200"/>
    <w:rsid w:val="47B76453"/>
    <w:rsid w:val="47BE040B"/>
    <w:rsid w:val="47BE7324"/>
    <w:rsid w:val="47C2640D"/>
    <w:rsid w:val="47C4437E"/>
    <w:rsid w:val="47CA3EBD"/>
    <w:rsid w:val="47DC4284"/>
    <w:rsid w:val="47DF7B1C"/>
    <w:rsid w:val="47E016E9"/>
    <w:rsid w:val="47E8372E"/>
    <w:rsid w:val="47F21EF0"/>
    <w:rsid w:val="47F5197C"/>
    <w:rsid w:val="47F95DB7"/>
    <w:rsid w:val="48005B89"/>
    <w:rsid w:val="480C54F8"/>
    <w:rsid w:val="48114D52"/>
    <w:rsid w:val="4819703C"/>
    <w:rsid w:val="481D120F"/>
    <w:rsid w:val="482105C0"/>
    <w:rsid w:val="48211E7E"/>
    <w:rsid w:val="48312B7C"/>
    <w:rsid w:val="48342F88"/>
    <w:rsid w:val="483510C7"/>
    <w:rsid w:val="483E3E03"/>
    <w:rsid w:val="4849312C"/>
    <w:rsid w:val="484C2E46"/>
    <w:rsid w:val="4858290B"/>
    <w:rsid w:val="485B4A3F"/>
    <w:rsid w:val="485C39F4"/>
    <w:rsid w:val="4862142D"/>
    <w:rsid w:val="48626E30"/>
    <w:rsid w:val="48636ED0"/>
    <w:rsid w:val="48680479"/>
    <w:rsid w:val="486F668F"/>
    <w:rsid w:val="487835F2"/>
    <w:rsid w:val="4884688A"/>
    <w:rsid w:val="48952A5D"/>
    <w:rsid w:val="489701E4"/>
    <w:rsid w:val="489C5552"/>
    <w:rsid w:val="48A309E1"/>
    <w:rsid w:val="48AA0CFE"/>
    <w:rsid w:val="48AB0568"/>
    <w:rsid w:val="48B23A8E"/>
    <w:rsid w:val="48BC5FDF"/>
    <w:rsid w:val="48C170BE"/>
    <w:rsid w:val="48CD0CC0"/>
    <w:rsid w:val="48D949EA"/>
    <w:rsid w:val="48DA0793"/>
    <w:rsid w:val="48E44A4C"/>
    <w:rsid w:val="48F73D54"/>
    <w:rsid w:val="48F96CCE"/>
    <w:rsid w:val="4905290C"/>
    <w:rsid w:val="49063785"/>
    <w:rsid w:val="491C548A"/>
    <w:rsid w:val="491D1B81"/>
    <w:rsid w:val="492A49F9"/>
    <w:rsid w:val="492F531F"/>
    <w:rsid w:val="492F6636"/>
    <w:rsid w:val="492F7E36"/>
    <w:rsid w:val="49405D5E"/>
    <w:rsid w:val="49555364"/>
    <w:rsid w:val="49561E92"/>
    <w:rsid w:val="496724C8"/>
    <w:rsid w:val="496A1DB8"/>
    <w:rsid w:val="496A3584"/>
    <w:rsid w:val="4971045B"/>
    <w:rsid w:val="4979031F"/>
    <w:rsid w:val="497976FA"/>
    <w:rsid w:val="497C5DB9"/>
    <w:rsid w:val="49833A3E"/>
    <w:rsid w:val="49896678"/>
    <w:rsid w:val="498B1F45"/>
    <w:rsid w:val="4991146B"/>
    <w:rsid w:val="49AE68B8"/>
    <w:rsid w:val="49C60139"/>
    <w:rsid w:val="49C63B01"/>
    <w:rsid w:val="49CC051E"/>
    <w:rsid w:val="49D82FE4"/>
    <w:rsid w:val="49E11689"/>
    <w:rsid w:val="49E6704C"/>
    <w:rsid w:val="49EE6A1F"/>
    <w:rsid w:val="49EF23AD"/>
    <w:rsid w:val="49F14CC3"/>
    <w:rsid w:val="49FD6413"/>
    <w:rsid w:val="4A104C1F"/>
    <w:rsid w:val="4A194C10"/>
    <w:rsid w:val="4A2308DE"/>
    <w:rsid w:val="4A2D4EAF"/>
    <w:rsid w:val="4A3D4FF8"/>
    <w:rsid w:val="4A3D6D5C"/>
    <w:rsid w:val="4A3E1126"/>
    <w:rsid w:val="4A3F629B"/>
    <w:rsid w:val="4A416D23"/>
    <w:rsid w:val="4A546A31"/>
    <w:rsid w:val="4A595A4F"/>
    <w:rsid w:val="4A5E6408"/>
    <w:rsid w:val="4A691BA3"/>
    <w:rsid w:val="4A75264F"/>
    <w:rsid w:val="4A8622B6"/>
    <w:rsid w:val="4A8B4465"/>
    <w:rsid w:val="4AA13962"/>
    <w:rsid w:val="4ABA55C9"/>
    <w:rsid w:val="4ABB1998"/>
    <w:rsid w:val="4ABF25A4"/>
    <w:rsid w:val="4AC162B6"/>
    <w:rsid w:val="4AC23D56"/>
    <w:rsid w:val="4AC524FD"/>
    <w:rsid w:val="4AD17AB5"/>
    <w:rsid w:val="4AD17B27"/>
    <w:rsid w:val="4AD21A83"/>
    <w:rsid w:val="4AD5740B"/>
    <w:rsid w:val="4AD76629"/>
    <w:rsid w:val="4AD92BE1"/>
    <w:rsid w:val="4ADB40EF"/>
    <w:rsid w:val="4ADD4949"/>
    <w:rsid w:val="4AE86A3E"/>
    <w:rsid w:val="4AF1673C"/>
    <w:rsid w:val="4AF43B8F"/>
    <w:rsid w:val="4AF7270C"/>
    <w:rsid w:val="4B0405D2"/>
    <w:rsid w:val="4B0C10BD"/>
    <w:rsid w:val="4B1B6412"/>
    <w:rsid w:val="4B33627A"/>
    <w:rsid w:val="4B356505"/>
    <w:rsid w:val="4B3A331C"/>
    <w:rsid w:val="4B3D32A5"/>
    <w:rsid w:val="4B460124"/>
    <w:rsid w:val="4B4D4169"/>
    <w:rsid w:val="4B503E7D"/>
    <w:rsid w:val="4B5526A6"/>
    <w:rsid w:val="4B63004E"/>
    <w:rsid w:val="4B6A739A"/>
    <w:rsid w:val="4B6B2FC4"/>
    <w:rsid w:val="4B791D52"/>
    <w:rsid w:val="4B7F7ECA"/>
    <w:rsid w:val="4B816AF3"/>
    <w:rsid w:val="4B84080B"/>
    <w:rsid w:val="4B8D7E12"/>
    <w:rsid w:val="4B944DA5"/>
    <w:rsid w:val="4BB651E9"/>
    <w:rsid w:val="4BBA5C6F"/>
    <w:rsid w:val="4BC3761F"/>
    <w:rsid w:val="4BD65DD5"/>
    <w:rsid w:val="4BEE2702"/>
    <w:rsid w:val="4BF1539E"/>
    <w:rsid w:val="4BF4138C"/>
    <w:rsid w:val="4BF57863"/>
    <w:rsid w:val="4C0D69A5"/>
    <w:rsid w:val="4C114E73"/>
    <w:rsid w:val="4C221AEA"/>
    <w:rsid w:val="4C276414"/>
    <w:rsid w:val="4C30348B"/>
    <w:rsid w:val="4C434245"/>
    <w:rsid w:val="4C457E06"/>
    <w:rsid w:val="4C486022"/>
    <w:rsid w:val="4C5653EF"/>
    <w:rsid w:val="4C6E490F"/>
    <w:rsid w:val="4C7A3E0A"/>
    <w:rsid w:val="4C805A12"/>
    <w:rsid w:val="4C8B3BFF"/>
    <w:rsid w:val="4C992C68"/>
    <w:rsid w:val="4C9A24A5"/>
    <w:rsid w:val="4CB4751A"/>
    <w:rsid w:val="4CCB2F3F"/>
    <w:rsid w:val="4CD715B6"/>
    <w:rsid w:val="4CE34671"/>
    <w:rsid w:val="4CF17BE5"/>
    <w:rsid w:val="4CF950CA"/>
    <w:rsid w:val="4CFE58B7"/>
    <w:rsid w:val="4D037E8A"/>
    <w:rsid w:val="4D0C44EB"/>
    <w:rsid w:val="4D0D2B05"/>
    <w:rsid w:val="4D0D5045"/>
    <w:rsid w:val="4D0F375C"/>
    <w:rsid w:val="4D1F4530"/>
    <w:rsid w:val="4D216009"/>
    <w:rsid w:val="4D241DA1"/>
    <w:rsid w:val="4D390C14"/>
    <w:rsid w:val="4D44030C"/>
    <w:rsid w:val="4D525702"/>
    <w:rsid w:val="4D694853"/>
    <w:rsid w:val="4D6E3730"/>
    <w:rsid w:val="4D7D0B22"/>
    <w:rsid w:val="4D964BDE"/>
    <w:rsid w:val="4DA22F6F"/>
    <w:rsid w:val="4DA366F2"/>
    <w:rsid w:val="4DAF3BE5"/>
    <w:rsid w:val="4DB30D09"/>
    <w:rsid w:val="4DC43E1F"/>
    <w:rsid w:val="4DCA651D"/>
    <w:rsid w:val="4DD15495"/>
    <w:rsid w:val="4DD455C4"/>
    <w:rsid w:val="4DE05675"/>
    <w:rsid w:val="4DE23B68"/>
    <w:rsid w:val="4DEE1BA4"/>
    <w:rsid w:val="4DF85277"/>
    <w:rsid w:val="4DFB36D6"/>
    <w:rsid w:val="4DFC5B74"/>
    <w:rsid w:val="4E00643A"/>
    <w:rsid w:val="4E1A5E9B"/>
    <w:rsid w:val="4E206385"/>
    <w:rsid w:val="4E220315"/>
    <w:rsid w:val="4E240EE9"/>
    <w:rsid w:val="4E2B750E"/>
    <w:rsid w:val="4E465611"/>
    <w:rsid w:val="4E4774FC"/>
    <w:rsid w:val="4E525C89"/>
    <w:rsid w:val="4E6C7842"/>
    <w:rsid w:val="4E716DD6"/>
    <w:rsid w:val="4E7D41EF"/>
    <w:rsid w:val="4E8743CF"/>
    <w:rsid w:val="4E8A19A2"/>
    <w:rsid w:val="4E95357C"/>
    <w:rsid w:val="4E9555FC"/>
    <w:rsid w:val="4EA73499"/>
    <w:rsid w:val="4EAF6660"/>
    <w:rsid w:val="4EC112A5"/>
    <w:rsid w:val="4EC27DC2"/>
    <w:rsid w:val="4ECD7A91"/>
    <w:rsid w:val="4ED06087"/>
    <w:rsid w:val="4ED44440"/>
    <w:rsid w:val="4EE520BF"/>
    <w:rsid w:val="4EEE23AB"/>
    <w:rsid w:val="4F05494C"/>
    <w:rsid w:val="4F0D50A9"/>
    <w:rsid w:val="4F152226"/>
    <w:rsid w:val="4F1A62E3"/>
    <w:rsid w:val="4F20737B"/>
    <w:rsid w:val="4F311C64"/>
    <w:rsid w:val="4F367D7E"/>
    <w:rsid w:val="4F3F7EDF"/>
    <w:rsid w:val="4F447D00"/>
    <w:rsid w:val="4F460289"/>
    <w:rsid w:val="4F4645D3"/>
    <w:rsid w:val="4F526862"/>
    <w:rsid w:val="4F5A268A"/>
    <w:rsid w:val="4F6E7297"/>
    <w:rsid w:val="4F737BC5"/>
    <w:rsid w:val="4F7C3D54"/>
    <w:rsid w:val="4F8306AF"/>
    <w:rsid w:val="4F897829"/>
    <w:rsid w:val="4F970DE9"/>
    <w:rsid w:val="4F971FC4"/>
    <w:rsid w:val="4F9E5F3F"/>
    <w:rsid w:val="4FA136A6"/>
    <w:rsid w:val="4FA5268C"/>
    <w:rsid w:val="4FAA22E5"/>
    <w:rsid w:val="4FC804D5"/>
    <w:rsid w:val="4FCC1A25"/>
    <w:rsid w:val="4FF22676"/>
    <w:rsid w:val="4FF94F51"/>
    <w:rsid w:val="4FFE1B06"/>
    <w:rsid w:val="50047F66"/>
    <w:rsid w:val="500A40D7"/>
    <w:rsid w:val="501D7250"/>
    <w:rsid w:val="502138A5"/>
    <w:rsid w:val="50283721"/>
    <w:rsid w:val="50306E16"/>
    <w:rsid w:val="5037186C"/>
    <w:rsid w:val="503A1DC6"/>
    <w:rsid w:val="503D2103"/>
    <w:rsid w:val="50487BF7"/>
    <w:rsid w:val="5054517C"/>
    <w:rsid w:val="505A67EB"/>
    <w:rsid w:val="50750658"/>
    <w:rsid w:val="50765757"/>
    <w:rsid w:val="508302E0"/>
    <w:rsid w:val="508C15FC"/>
    <w:rsid w:val="509B5208"/>
    <w:rsid w:val="50B63FD8"/>
    <w:rsid w:val="50B94C1E"/>
    <w:rsid w:val="50BB47E0"/>
    <w:rsid w:val="50BD18A9"/>
    <w:rsid w:val="50C46BEE"/>
    <w:rsid w:val="50E33CEC"/>
    <w:rsid w:val="50EC0A58"/>
    <w:rsid w:val="50FC73BD"/>
    <w:rsid w:val="50FD72C4"/>
    <w:rsid w:val="5104794E"/>
    <w:rsid w:val="510F1A3E"/>
    <w:rsid w:val="511C56B7"/>
    <w:rsid w:val="511D1491"/>
    <w:rsid w:val="511D153D"/>
    <w:rsid w:val="51205FD8"/>
    <w:rsid w:val="513C4376"/>
    <w:rsid w:val="51435D0C"/>
    <w:rsid w:val="51446169"/>
    <w:rsid w:val="51446C20"/>
    <w:rsid w:val="515811B0"/>
    <w:rsid w:val="516B6A17"/>
    <w:rsid w:val="516E22FB"/>
    <w:rsid w:val="517765FC"/>
    <w:rsid w:val="518715F4"/>
    <w:rsid w:val="51914511"/>
    <w:rsid w:val="519A032B"/>
    <w:rsid w:val="519E21FD"/>
    <w:rsid w:val="51AA50F9"/>
    <w:rsid w:val="51B06B92"/>
    <w:rsid w:val="51B07591"/>
    <w:rsid w:val="51B43002"/>
    <w:rsid w:val="51BB1A11"/>
    <w:rsid w:val="51BD6C11"/>
    <w:rsid w:val="51DA58AE"/>
    <w:rsid w:val="51DB1EE3"/>
    <w:rsid w:val="51E5449B"/>
    <w:rsid w:val="51E66508"/>
    <w:rsid w:val="51E847AF"/>
    <w:rsid w:val="51EA7907"/>
    <w:rsid w:val="52017EFE"/>
    <w:rsid w:val="5207755E"/>
    <w:rsid w:val="52132B15"/>
    <w:rsid w:val="521E5FFD"/>
    <w:rsid w:val="522B486F"/>
    <w:rsid w:val="524450A3"/>
    <w:rsid w:val="52510CC8"/>
    <w:rsid w:val="52583CBA"/>
    <w:rsid w:val="525B7583"/>
    <w:rsid w:val="52601803"/>
    <w:rsid w:val="52643FB3"/>
    <w:rsid w:val="52677F96"/>
    <w:rsid w:val="526B3916"/>
    <w:rsid w:val="5270414C"/>
    <w:rsid w:val="527D208A"/>
    <w:rsid w:val="529659FD"/>
    <w:rsid w:val="52AD2BFD"/>
    <w:rsid w:val="52B224F0"/>
    <w:rsid w:val="52B41228"/>
    <w:rsid w:val="52B41F04"/>
    <w:rsid w:val="52C660C9"/>
    <w:rsid w:val="52CF29D7"/>
    <w:rsid w:val="52D76C30"/>
    <w:rsid w:val="52D84DB1"/>
    <w:rsid w:val="52D94139"/>
    <w:rsid w:val="52DB1F8A"/>
    <w:rsid w:val="52E3567F"/>
    <w:rsid w:val="52EA5678"/>
    <w:rsid w:val="52EB7ECE"/>
    <w:rsid w:val="52ED06D4"/>
    <w:rsid w:val="52F033ED"/>
    <w:rsid w:val="52F22E01"/>
    <w:rsid w:val="53001BB3"/>
    <w:rsid w:val="530265E4"/>
    <w:rsid w:val="53055DE1"/>
    <w:rsid w:val="530607B8"/>
    <w:rsid w:val="530B0E4B"/>
    <w:rsid w:val="53143779"/>
    <w:rsid w:val="531B3817"/>
    <w:rsid w:val="53264D65"/>
    <w:rsid w:val="532931AC"/>
    <w:rsid w:val="532E0652"/>
    <w:rsid w:val="533D0209"/>
    <w:rsid w:val="534555A6"/>
    <w:rsid w:val="53501B3A"/>
    <w:rsid w:val="5367646B"/>
    <w:rsid w:val="536853C9"/>
    <w:rsid w:val="536A00F5"/>
    <w:rsid w:val="537514ED"/>
    <w:rsid w:val="53815461"/>
    <w:rsid w:val="539808BD"/>
    <w:rsid w:val="53987838"/>
    <w:rsid w:val="53996376"/>
    <w:rsid w:val="53AA516E"/>
    <w:rsid w:val="53AB168D"/>
    <w:rsid w:val="53AD1FC2"/>
    <w:rsid w:val="53B07B30"/>
    <w:rsid w:val="53CD3590"/>
    <w:rsid w:val="53CE5FB2"/>
    <w:rsid w:val="53D32C63"/>
    <w:rsid w:val="53D848DE"/>
    <w:rsid w:val="53DE6F83"/>
    <w:rsid w:val="53E17EA9"/>
    <w:rsid w:val="53EB1643"/>
    <w:rsid w:val="53EF3446"/>
    <w:rsid w:val="53F01264"/>
    <w:rsid w:val="53F60260"/>
    <w:rsid w:val="53FC0EC4"/>
    <w:rsid w:val="53FD1729"/>
    <w:rsid w:val="5400395F"/>
    <w:rsid w:val="54060FA4"/>
    <w:rsid w:val="54062707"/>
    <w:rsid w:val="540A755E"/>
    <w:rsid w:val="540F6798"/>
    <w:rsid w:val="541233D7"/>
    <w:rsid w:val="54132820"/>
    <w:rsid w:val="541C389D"/>
    <w:rsid w:val="541F29DD"/>
    <w:rsid w:val="541F3A7B"/>
    <w:rsid w:val="542B1C77"/>
    <w:rsid w:val="54354594"/>
    <w:rsid w:val="54417F66"/>
    <w:rsid w:val="5448592B"/>
    <w:rsid w:val="544A3609"/>
    <w:rsid w:val="544C7BFD"/>
    <w:rsid w:val="545029C2"/>
    <w:rsid w:val="5450301F"/>
    <w:rsid w:val="5450471C"/>
    <w:rsid w:val="5459359C"/>
    <w:rsid w:val="546032DF"/>
    <w:rsid w:val="546A0C9D"/>
    <w:rsid w:val="546A3A38"/>
    <w:rsid w:val="547651B8"/>
    <w:rsid w:val="54780EBC"/>
    <w:rsid w:val="547F33FC"/>
    <w:rsid w:val="548379B4"/>
    <w:rsid w:val="54A25B78"/>
    <w:rsid w:val="54B41F69"/>
    <w:rsid w:val="54B44301"/>
    <w:rsid w:val="54B92A50"/>
    <w:rsid w:val="54C2646B"/>
    <w:rsid w:val="54C72B03"/>
    <w:rsid w:val="54CC69D9"/>
    <w:rsid w:val="54CD0339"/>
    <w:rsid w:val="54D65F23"/>
    <w:rsid w:val="54DF2F31"/>
    <w:rsid w:val="54E94703"/>
    <w:rsid w:val="54EA17CF"/>
    <w:rsid w:val="54EF0AAE"/>
    <w:rsid w:val="54F05AD2"/>
    <w:rsid w:val="54F77F3B"/>
    <w:rsid w:val="54F9507D"/>
    <w:rsid w:val="54FD7D3B"/>
    <w:rsid w:val="54FF10C9"/>
    <w:rsid w:val="5505589D"/>
    <w:rsid w:val="55090AE5"/>
    <w:rsid w:val="5518442B"/>
    <w:rsid w:val="552611B1"/>
    <w:rsid w:val="55280537"/>
    <w:rsid w:val="552D7F72"/>
    <w:rsid w:val="553271D3"/>
    <w:rsid w:val="554B700A"/>
    <w:rsid w:val="554F2666"/>
    <w:rsid w:val="5556678D"/>
    <w:rsid w:val="55591795"/>
    <w:rsid w:val="55591DC6"/>
    <w:rsid w:val="555C29F5"/>
    <w:rsid w:val="55600ECB"/>
    <w:rsid w:val="556C60B3"/>
    <w:rsid w:val="556E0F24"/>
    <w:rsid w:val="55754E2B"/>
    <w:rsid w:val="557813BB"/>
    <w:rsid w:val="55790B96"/>
    <w:rsid w:val="558B13F4"/>
    <w:rsid w:val="558F1BF0"/>
    <w:rsid w:val="55945D37"/>
    <w:rsid w:val="55A33F58"/>
    <w:rsid w:val="55AA0F8C"/>
    <w:rsid w:val="55AA5633"/>
    <w:rsid w:val="55B115A2"/>
    <w:rsid w:val="55BE5B7F"/>
    <w:rsid w:val="55C87E5B"/>
    <w:rsid w:val="55CD5E8D"/>
    <w:rsid w:val="55DB4561"/>
    <w:rsid w:val="55E83185"/>
    <w:rsid w:val="55EB1F25"/>
    <w:rsid w:val="561D3BDC"/>
    <w:rsid w:val="561F58ED"/>
    <w:rsid w:val="5625322F"/>
    <w:rsid w:val="562D525A"/>
    <w:rsid w:val="563E5AB2"/>
    <w:rsid w:val="56467D4A"/>
    <w:rsid w:val="564C522B"/>
    <w:rsid w:val="565A2C86"/>
    <w:rsid w:val="56642809"/>
    <w:rsid w:val="566E0EBF"/>
    <w:rsid w:val="567C6182"/>
    <w:rsid w:val="56950B50"/>
    <w:rsid w:val="56974290"/>
    <w:rsid w:val="56A501F8"/>
    <w:rsid w:val="56A959BB"/>
    <w:rsid w:val="56BB4490"/>
    <w:rsid w:val="56C055FC"/>
    <w:rsid w:val="56CC638C"/>
    <w:rsid w:val="56D3410E"/>
    <w:rsid w:val="56D51BC3"/>
    <w:rsid w:val="56DB67A7"/>
    <w:rsid w:val="56E438E6"/>
    <w:rsid w:val="56ED1B6A"/>
    <w:rsid w:val="56F00E30"/>
    <w:rsid w:val="56F53615"/>
    <w:rsid w:val="56FB146A"/>
    <w:rsid w:val="57050993"/>
    <w:rsid w:val="570908B6"/>
    <w:rsid w:val="570A2C48"/>
    <w:rsid w:val="570D273C"/>
    <w:rsid w:val="573518D3"/>
    <w:rsid w:val="57355064"/>
    <w:rsid w:val="573C19D3"/>
    <w:rsid w:val="574035EE"/>
    <w:rsid w:val="57411336"/>
    <w:rsid w:val="57501DED"/>
    <w:rsid w:val="57625050"/>
    <w:rsid w:val="57634140"/>
    <w:rsid w:val="576524BB"/>
    <w:rsid w:val="577F5FA9"/>
    <w:rsid w:val="577F68C1"/>
    <w:rsid w:val="57812F5F"/>
    <w:rsid w:val="57923796"/>
    <w:rsid w:val="57A1557A"/>
    <w:rsid w:val="57A41BF3"/>
    <w:rsid w:val="57BE1B02"/>
    <w:rsid w:val="57C24C91"/>
    <w:rsid w:val="57D64B57"/>
    <w:rsid w:val="57D65532"/>
    <w:rsid w:val="57EE6662"/>
    <w:rsid w:val="57F715EE"/>
    <w:rsid w:val="57FC57BD"/>
    <w:rsid w:val="57FD68F4"/>
    <w:rsid w:val="57FF6155"/>
    <w:rsid w:val="580140A6"/>
    <w:rsid w:val="5809281C"/>
    <w:rsid w:val="580B6E3C"/>
    <w:rsid w:val="580C1C8E"/>
    <w:rsid w:val="58120B37"/>
    <w:rsid w:val="581E62DD"/>
    <w:rsid w:val="58291B84"/>
    <w:rsid w:val="58305016"/>
    <w:rsid w:val="583220CE"/>
    <w:rsid w:val="58342026"/>
    <w:rsid w:val="585673E9"/>
    <w:rsid w:val="586C3CC6"/>
    <w:rsid w:val="58783CFA"/>
    <w:rsid w:val="58876CDB"/>
    <w:rsid w:val="58901BC2"/>
    <w:rsid w:val="58951088"/>
    <w:rsid w:val="58990FC0"/>
    <w:rsid w:val="58A14C54"/>
    <w:rsid w:val="58A64233"/>
    <w:rsid w:val="58B13452"/>
    <w:rsid w:val="58BB3DC0"/>
    <w:rsid w:val="58D95B4A"/>
    <w:rsid w:val="58DE7B7E"/>
    <w:rsid w:val="58E236F3"/>
    <w:rsid w:val="5906339C"/>
    <w:rsid w:val="590C2C4C"/>
    <w:rsid w:val="59131292"/>
    <w:rsid w:val="59135B55"/>
    <w:rsid w:val="59232A72"/>
    <w:rsid w:val="592D4A6E"/>
    <w:rsid w:val="593063EF"/>
    <w:rsid w:val="59423F6D"/>
    <w:rsid w:val="5942577F"/>
    <w:rsid w:val="59456A20"/>
    <w:rsid w:val="59506971"/>
    <w:rsid w:val="595B3690"/>
    <w:rsid w:val="5963115F"/>
    <w:rsid w:val="596A0C5D"/>
    <w:rsid w:val="596F61FA"/>
    <w:rsid w:val="59877F69"/>
    <w:rsid w:val="59903B9E"/>
    <w:rsid w:val="59924FF5"/>
    <w:rsid w:val="59AD7B08"/>
    <w:rsid w:val="59AF277F"/>
    <w:rsid w:val="59B56492"/>
    <w:rsid w:val="59C35ACF"/>
    <w:rsid w:val="59C44115"/>
    <w:rsid w:val="59D00092"/>
    <w:rsid w:val="59D7753C"/>
    <w:rsid w:val="59D9147E"/>
    <w:rsid w:val="59F658D0"/>
    <w:rsid w:val="59FE047F"/>
    <w:rsid w:val="5A0170B3"/>
    <w:rsid w:val="5A02182B"/>
    <w:rsid w:val="5A0633CF"/>
    <w:rsid w:val="5A0903C9"/>
    <w:rsid w:val="5A0D509A"/>
    <w:rsid w:val="5A0E4C2F"/>
    <w:rsid w:val="5A180A3A"/>
    <w:rsid w:val="5A2400DF"/>
    <w:rsid w:val="5A311EF2"/>
    <w:rsid w:val="5A444794"/>
    <w:rsid w:val="5A552EDD"/>
    <w:rsid w:val="5A5810F3"/>
    <w:rsid w:val="5A625492"/>
    <w:rsid w:val="5A643AC8"/>
    <w:rsid w:val="5A64740A"/>
    <w:rsid w:val="5A664CCE"/>
    <w:rsid w:val="5A6F000D"/>
    <w:rsid w:val="5A746011"/>
    <w:rsid w:val="5A821C67"/>
    <w:rsid w:val="5A8A5E83"/>
    <w:rsid w:val="5A9330C3"/>
    <w:rsid w:val="5AA20ED6"/>
    <w:rsid w:val="5AA708CA"/>
    <w:rsid w:val="5AAC551A"/>
    <w:rsid w:val="5AAF40C7"/>
    <w:rsid w:val="5AB37F0E"/>
    <w:rsid w:val="5AEE535F"/>
    <w:rsid w:val="5AF17F45"/>
    <w:rsid w:val="5AF26392"/>
    <w:rsid w:val="5AF54ABD"/>
    <w:rsid w:val="5AFD5309"/>
    <w:rsid w:val="5B0C4CA2"/>
    <w:rsid w:val="5B204F54"/>
    <w:rsid w:val="5B2A28AF"/>
    <w:rsid w:val="5B2D4026"/>
    <w:rsid w:val="5B2E155A"/>
    <w:rsid w:val="5B34038F"/>
    <w:rsid w:val="5B3B4BE1"/>
    <w:rsid w:val="5B55211D"/>
    <w:rsid w:val="5B5E6F93"/>
    <w:rsid w:val="5B6160B4"/>
    <w:rsid w:val="5B691244"/>
    <w:rsid w:val="5B6F2330"/>
    <w:rsid w:val="5B7C1860"/>
    <w:rsid w:val="5B7F50BF"/>
    <w:rsid w:val="5B867F38"/>
    <w:rsid w:val="5B9207A8"/>
    <w:rsid w:val="5B9F7DAC"/>
    <w:rsid w:val="5BB11A8A"/>
    <w:rsid w:val="5BB77E50"/>
    <w:rsid w:val="5BBB37E1"/>
    <w:rsid w:val="5BBB3896"/>
    <w:rsid w:val="5BBF1064"/>
    <w:rsid w:val="5BD24C1E"/>
    <w:rsid w:val="5BE16D18"/>
    <w:rsid w:val="5C0553DC"/>
    <w:rsid w:val="5C111495"/>
    <w:rsid w:val="5C165947"/>
    <w:rsid w:val="5C1739FF"/>
    <w:rsid w:val="5C3405B2"/>
    <w:rsid w:val="5C343DD9"/>
    <w:rsid w:val="5C452B17"/>
    <w:rsid w:val="5C4863C1"/>
    <w:rsid w:val="5C61437B"/>
    <w:rsid w:val="5C6C3BBC"/>
    <w:rsid w:val="5C6C3BD8"/>
    <w:rsid w:val="5C776406"/>
    <w:rsid w:val="5C8C06C1"/>
    <w:rsid w:val="5C8F1170"/>
    <w:rsid w:val="5C992D62"/>
    <w:rsid w:val="5CA01D3B"/>
    <w:rsid w:val="5CB02287"/>
    <w:rsid w:val="5CC101EF"/>
    <w:rsid w:val="5CC24B59"/>
    <w:rsid w:val="5CCC5196"/>
    <w:rsid w:val="5CCF1899"/>
    <w:rsid w:val="5CDB1524"/>
    <w:rsid w:val="5CDF5473"/>
    <w:rsid w:val="5CE53B50"/>
    <w:rsid w:val="5CE85C91"/>
    <w:rsid w:val="5CE86BC5"/>
    <w:rsid w:val="5CEC53A5"/>
    <w:rsid w:val="5CF71428"/>
    <w:rsid w:val="5D007836"/>
    <w:rsid w:val="5D15701B"/>
    <w:rsid w:val="5D1773C9"/>
    <w:rsid w:val="5D1F428A"/>
    <w:rsid w:val="5D2E5F5D"/>
    <w:rsid w:val="5D34149D"/>
    <w:rsid w:val="5D3B5726"/>
    <w:rsid w:val="5D4601B1"/>
    <w:rsid w:val="5D494DBC"/>
    <w:rsid w:val="5D4A265D"/>
    <w:rsid w:val="5D4B34BD"/>
    <w:rsid w:val="5D535FE2"/>
    <w:rsid w:val="5D55588E"/>
    <w:rsid w:val="5D5723E7"/>
    <w:rsid w:val="5D5A0839"/>
    <w:rsid w:val="5D703A41"/>
    <w:rsid w:val="5D735CD6"/>
    <w:rsid w:val="5D7A5CAC"/>
    <w:rsid w:val="5D7B0085"/>
    <w:rsid w:val="5D7B50D7"/>
    <w:rsid w:val="5D7E75E3"/>
    <w:rsid w:val="5D811B5C"/>
    <w:rsid w:val="5D893FCF"/>
    <w:rsid w:val="5D8D1664"/>
    <w:rsid w:val="5DAB27C9"/>
    <w:rsid w:val="5DAF2433"/>
    <w:rsid w:val="5DB05ED7"/>
    <w:rsid w:val="5DB46EC8"/>
    <w:rsid w:val="5DB53F80"/>
    <w:rsid w:val="5DCB6A18"/>
    <w:rsid w:val="5DD1503B"/>
    <w:rsid w:val="5DD371C8"/>
    <w:rsid w:val="5DE06536"/>
    <w:rsid w:val="5DF84E51"/>
    <w:rsid w:val="5E03619E"/>
    <w:rsid w:val="5E12502D"/>
    <w:rsid w:val="5E147D13"/>
    <w:rsid w:val="5E263E82"/>
    <w:rsid w:val="5E3564A3"/>
    <w:rsid w:val="5E39617D"/>
    <w:rsid w:val="5E5A73BB"/>
    <w:rsid w:val="5E5D7076"/>
    <w:rsid w:val="5E6572A9"/>
    <w:rsid w:val="5E6F4588"/>
    <w:rsid w:val="5E790CA0"/>
    <w:rsid w:val="5E7945FC"/>
    <w:rsid w:val="5E8B3271"/>
    <w:rsid w:val="5E9077B9"/>
    <w:rsid w:val="5E930082"/>
    <w:rsid w:val="5EB351E3"/>
    <w:rsid w:val="5EB6009E"/>
    <w:rsid w:val="5ECB5E0F"/>
    <w:rsid w:val="5ECF22A5"/>
    <w:rsid w:val="5ED32946"/>
    <w:rsid w:val="5EE278D0"/>
    <w:rsid w:val="5F031672"/>
    <w:rsid w:val="5F0E22EC"/>
    <w:rsid w:val="5F0E5841"/>
    <w:rsid w:val="5F0E7AA1"/>
    <w:rsid w:val="5F2E5A95"/>
    <w:rsid w:val="5F4C162A"/>
    <w:rsid w:val="5F631F2A"/>
    <w:rsid w:val="5F701D7B"/>
    <w:rsid w:val="5F727FC6"/>
    <w:rsid w:val="5FA24E2B"/>
    <w:rsid w:val="5FA91308"/>
    <w:rsid w:val="5FBE789B"/>
    <w:rsid w:val="5FC32714"/>
    <w:rsid w:val="5FC469D3"/>
    <w:rsid w:val="5FD2539A"/>
    <w:rsid w:val="5FD862BD"/>
    <w:rsid w:val="5FDD0F28"/>
    <w:rsid w:val="5FE12E56"/>
    <w:rsid w:val="5FF623A7"/>
    <w:rsid w:val="60053101"/>
    <w:rsid w:val="60085D90"/>
    <w:rsid w:val="601C7F66"/>
    <w:rsid w:val="60265BCA"/>
    <w:rsid w:val="60285FA1"/>
    <w:rsid w:val="603A2B07"/>
    <w:rsid w:val="6054527B"/>
    <w:rsid w:val="60595B9F"/>
    <w:rsid w:val="6069345E"/>
    <w:rsid w:val="607A5C32"/>
    <w:rsid w:val="607F45F5"/>
    <w:rsid w:val="607F6BA2"/>
    <w:rsid w:val="60835BF0"/>
    <w:rsid w:val="60885E60"/>
    <w:rsid w:val="608E4E60"/>
    <w:rsid w:val="608F7C3C"/>
    <w:rsid w:val="609546A5"/>
    <w:rsid w:val="60A35595"/>
    <w:rsid w:val="60A652C9"/>
    <w:rsid w:val="60AF75A0"/>
    <w:rsid w:val="60B3575F"/>
    <w:rsid w:val="60BE3971"/>
    <w:rsid w:val="60C36BAA"/>
    <w:rsid w:val="60C41097"/>
    <w:rsid w:val="60CF13A2"/>
    <w:rsid w:val="60D94239"/>
    <w:rsid w:val="60DA02C2"/>
    <w:rsid w:val="60DC5FD9"/>
    <w:rsid w:val="60DF0B6A"/>
    <w:rsid w:val="60E471F1"/>
    <w:rsid w:val="60EC36E8"/>
    <w:rsid w:val="60F03883"/>
    <w:rsid w:val="60F600EF"/>
    <w:rsid w:val="60F864F0"/>
    <w:rsid w:val="60FC40AB"/>
    <w:rsid w:val="610244AA"/>
    <w:rsid w:val="611304E9"/>
    <w:rsid w:val="61186287"/>
    <w:rsid w:val="612167D8"/>
    <w:rsid w:val="61271031"/>
    <w:rsid w:val="613045F7"/>
    <w:rsid w:val="61323E7D"/>
    <w:rsid w:val="6145645F"/>
    <w:rsid w:val="614B50C1"/>
    <w:rsid w:val="614D07F9"/>
    <w:rsid w:val="61517443"/>
    <w:rsid w:val="616F5BBC"/>
    <w:rsid w:val="61705093"/>
    <w:rsid w:val="618F5E5F"/>
    <w:rsid w:val="61A7126A"/>
    <w:rsid w:val="61B00A1E"/>
    <w:rsid w:val="61C06B4A"/>
    <w:rsid w:val="61C44FB6"/>
    <w:rsid w:val="61CA606C"/>
    <w:rsid w:val="61D22910"/>
    <w:rsid w:val="61D879B9"/>
    <w:rsid w:val="61DE243F"/>
    <w:rsid w:val="61E272EB"/>
    <w:rsid w:val="61EB205E"/>
    <w:rsid w:val="61F81C3A"/>
    <w:rsid w:val="62001C33"/>
    <w:rsid w:val="62006316"/>
    <w:rsid w:val="620279F8"/>
    <w:rsid w:val="620873DA"/>
    <w:rsid w:val="620E5129"/>
    <w:rsid w:val="62144DB7"/>
    <w:rsid w:val="621A51B1"/>
    <w:rsid w:val="621B7911"/>
    <w:rsid w:val="621D7BEF"/>
    <w:rsid w:val="62244482"/>
    <w:rsid w:val="622446F8"/>
    <w:rsid w:val="622C2A0D"/>
    <w:rsid w:val="62364403"/>
    <w:rsid w:val="62387CD2"/>
    <w:rsid w:val="62436960"/>
    <w:rsid w:val="625C6B16"/>
    <w:rsid w:val="625F53CD"/>
    <w:rsid w:val="62604FDE"/>
    <w:rsid w:val="626252C2"/>
    <w:rsid w:val="627B5880"/>
    <w:rsid w:val="627F5228"/>
    <w:rsid w:val="628622AD"/>
    <w:rsid w:val="628950F7"/>
    <w:rsid w:val="629302A3"/>
    <w:rsid w:val="6294124F"/>
    <w:rsid w:val="629F5000"/>
    <w:rsid w:val="62AB4B55"/>
    <w:rsid w:val="62B24BE1"/>
    <w:rsid w:val="62B96E86"/>
    <w:rsid w:val="62C051BD"/>
    <w:rsid w:val="62C21705"/>
    <w:rsid w:val="62D17676"/>
    <w:rsid w:val="62D32BA1"/>
    <w:rsid w:val="63027145"/>
    <w:rsid w:val="63075750"/>
    <w:rsid w:val="630E477B"/>
    <w:rsid w:val="63161581"/>
    <w:rsid w:val="633571CC"/>
    <w:rsid w:val="633730F3"/>
    <w:rsid w:val="633B709F"/>
    <w:rsid w:val="6348512C"/>
    <w:rsid w:val="634D0FFB"/>
    <w:rsid w:val="634D4E50"/>
    <w:rsid w:val="63607B63"/>
    <w:rsid w:val="63635E2F"/>
    <w:rsid w:val="636451F8"/>
    <w:rsid w:val="6372606D"/>
    <w:rsid w:val="637500A0"/>
    <w:rsid w:val="63864396"/>
    <w:rsid w:val="638B06E1"/>
    <w:rsid w:val="63A86F13"/>
    <w:rsid w:val="63AC40B1"/>
    <w:rsid w:val="63AC7B01"/>
    <w:rsid w:val="63B069B7"/>
    <w:rsid w:val="63C85E2C"/>
    <w:rsid w:val="63D92960"/>
    <w:rsid w:val="63E13B71"/>
    <w:rsid w:val="63E35F3A"/>
    <w:rsid w:val="63EC4F0E"/>
    <w:rsid w:val="63F12198"/>
    <w:rsid w:val="63F84086"/>
    <w:rsid w:val="63FC288F"/>
    <w:rsid w:val="63FF4C2E"/>
    <w:rsid w:val="64026BBB"/>
    <w:rsid w:val="6419743D"/>
    <w:rsid w:val="642D197F"/>
    <w:rsid w:val="64351649"/>
    <w:rsid w:val="643811A9"/>
    <w:rsid w:val="64505561"/>
    <w:rsid w:val="6451172E"/>
    <w:rsid w:val="645A17BF"/>
    <w:rsid w:val="645B218B"/>
    <w:rsid w:val="645D0F75"/>
    <w:rsid w:val="64640FD6"/>
    <w:rsid w:val="64667B28"/>
    <w:rsid w:val="646949A2"/>
    <w:rsid w:val="646E6EC8"/>
    <w:rsid w:val="64752152"/>
    <w:rsid w:val="647A4FD2"/>
    <w:rsid w:val="647F6B9A"/>
    <w:rsid w:val="64802D6E"/>
    <w:rsid w:val="6481537F"/>
    <w:rsid w:val="648209AC"/>
    <w:rsid w:val="648F56C4"/>
    <w:rsid w:val="64921F12"/>
    <w:rsid w:val="649C135E"/>
    <w:rsid w:val="64A37A75"/>
    <w:rsid w:val="64A45340"/>
    <w:rsid w:val="64B004F2"/>
    <w:rsid w:val="64B7696A"/>
    <w:rsid w:val="64BF2823"/>
    <w:rsid w:val="64D30230"/>
    <w:rsid w:val="64D63E20"/>
    <w:rsid w:val="64D72FAF"/>
    <w:rsid w:val="64D81ED5"/>
    <w:rsid w:val="64D85ADD"/>
    <w:rsid w:val="64DD39E4"/>
    <w:rsid w:val="64E01C49"/>
    <w:rsid w:val="64E45A26"/>
    <w:rsid w:val="64F31493"/>
    <w:rsid w:val="64FA0716"/>
    <w:rsid w:val="650B4776"/>
    <w:rsid w:val="65182A1E"/>
    <w:rsid w:val="65194470"/>
    <w:rsid w:val="652F1ED5"/>
    <w:rsid w:val="65341AB7"/>
    <w:rsid w:val="653D34A1"/>
    <w:rsid w:val="654C0A01"/>
    <w:rsid w:val="654C400E"/>
    <w:rsid w:val="654D7969"/>
    <w:rsid w:val="655C6B59"/>
    <w:rsid w:val="65624DEB"/>
    <w:rsid w:val="65760643"/>
    <w:rsid w:val="658123CB"/>
    <w:rsid w:val="65931D3A"/>
    <w:rsid w:val="659822DD"/>
    <w:rsid w:val="65A3380C"/>
    <w:rsid w:val="65B44DD6"/>
    <w:rsid w:val="65D21F83"/>
    <w:rsid w:val="65D60201"/>
    <w:rsid w:val="65D95B4E"/>
    <w:rsid w:val="65E174B2"/>
    <w:rsid w:val="65E31C55"/>
    <w:rsid w:val="65EF47B9"/>
    <w:rsid w:val="65F01AB4"/>
    <w:rsid w:val="65F8423D"/>
    <w:rsid w:val="65FE7F42"/>
    <w:rsid w:val="660B3DE6"/>
    <w:rsid w:val="660B5925"/>
    <w:rsid w:val="66100967"/>
    <w:rsid w:val="662720D2"/>
    <w:rsid w:val="663219D1"/>
    <w:rsid w:val="663955FC"/>
    <w:rsid w:val="663A5586"/>
    <w:rsid w:val="664334EE"/>
    <w:rsid w:val="664E3FE8"/>
    <w:rsid w:val="6653533F"/>
    <w:rsid w:val="66646397"/>
    <w:rsid w:val="66653D48"/>
    <w:rsid w:val="666A04BB"/>
    <w:rsid w:val="666D301C"/>
    <w:rsid w:val="66787D8A"/>
    <w:rsid w:val="668E014F"/>
    <w:rsid w:val="669A1F4A"/>
    <w:rsid w:val="669C06FE"/>
    <w:rsid w:val="669D0FFF"/>
    <w:rsid w:val="66A37B86"/>
    <w:rsid w:val="66AA4416"/>
    <w:rsid w:val="66B87247"/>
    <w:rsid w:val="66C1139D"/>
    <w:rsid w:val="66C82EFB"/>
    <w:rsid w:val="66C86704"/>
    <w:rsid w:val="66D12486"/>
    <w:rsid w:val="66D4710B"/>
    <w:rsid w:val="66D87459"/>
    <w:rsid w:val="66D94502"/>
    <w:rsid w:val="66DC1DC6"/>
    <w:rsid w:val="66DC5B3F"/>
    <w:rsid w:val="66E03F2D"/>
    <w:rsid w:val="670276DF"/>
    <w:rsid w:val="67105321"/>
    <w:rsid w:val="67381AD5"/>
    <w:rsid w:val="674B66AD"/>
    <w:rsid w:val="675112D0"/>
    <w:rsid w:val="675B55F3"/>
    <w:rsid w:val="675E2286"/>
    <w:rsid w:val="67692393"/>
    <w:rsid w:val="676E7F3D"/>
    <w:rsid w:val="67704FAD"/>
    <w:rsid w:val="67740045"/>
    <w:rsid w:val="677A520C"/>
    <w:rsid w:val="677E4332"/>
    <w:rsid w:val="67814CA0"/>
    <w:rsid w:val="6781689D"/>
    <w:rsid w:val="67836156"/>
    <w:rsid w:val="67846860"/>
    <w:rsid w:val="679B40CF"/>
    <w:rsid w:val="67A27CC2"/>
    <w:rsid w:val="67A60B9C"/>
    <w:rsid w:val="67AB06F9"/>
    <w:rsid w:val="67AC30A1"/>
    <w:rsid w:val="67AD0F3F"/>
    <w:rsid w:val="67DA041D"/>
    <w:rsid w:val="67E10434"/>
    <w:rsid w:val="67EF30B3"/>
    <w:rsid w:val="67F313FA"/>
    <w:rsid w:val="68061993"/>
    <w:rsid w:val="680D0939"/>
    <w:rsid w:val="68237FD2"/>
    <w:rsid w:val="682D0A6C"/>
    <w:rsid w:val="68394CF3"/>
    <w:rsid w:val="684557CE"/>
    <w:rsid w:val="68466D27"/>
    <w:rsid w:val="685C36DF"/>
    <w:rsid w:val="686D127F"/>
    <w:rsid w:val="686E60C8"/>
    <w:rsid w:val="687067F6"/>
    <w:rsid w:val="68747A3A"/>
    <w:rsid w:val="68802A41"/>
    <w:rsid w:val="689078F6"/>
    <w:rsid w:val="68912C6E"/>
    <w:rsid w:val="689304A0"/>
    <w:rsid w:val="689D07A2"/>
    <w:rsid w:val="68B20ED3"/>
    <w:rsid w:val="68B93D81"/>
    <w:rsid w:val="68BF219B"/>
    <w:rsid w:val="68C70336"/>
    <w:rsid w:val="68DD5DD6"/>
    <w:rsid w:val="68E3352F"/>
    <w:rsid w:val="68E65278"/>
    <w:rsid w:val="68EC04DE"/>
    <w:rsid w:val="68EF44B2"/>
    <w:rsid w:val="68FB3625"/>
    <w:rsid w:val="68FC7FC0"/>
    <w:rsid w:val="68FF4226"/>
    <w:rsid w:val="69022832"/>
    <w:rsid w:val="69093CAF"/>
    <w:rsid w:val="690B7063"/>
    <w:rsid w:val="690B7520"/>
    <w:rsid w:val="691200AE"/>
    <w:rsid w:val="69152147"/>
    <w:rsid w:val="692E7E6B"/>
    <w:rsid w:val="69317031"/>
    <w:rsid w:val="695373E0"/>
    <w:rsid w:val="69630248"/>
    <w:rsid w:val="69642235"/>
    <w:rsid w:val="69647D29"/>
    <w:rsid w:val="69774629"/>
    <w:rsid w:val="697E74B0"/>
    <w:rsid w:val="6992357A"/>
    <w:rsid w:val="69AB1271"/>
    <w:rsid w:val="69B64F85"/>
    <w:rsid w:val="69BB1CEB"/>
    <w:rsid w:val="69C76718"/>
    <w:rsid w:val="69CE01B8"/>
    <w:rsid w:val="69CF00C0"/>
    <w:rsid w:val="69D85016"/>
    <w:rsid w:val="69DA61FE"/>
    <w:rsid w:val="69DD38E7"/>
    <w:rsid w:val="69E67C99"/>
    <w:rsid w:val="6A0456C2"/>
    <w:rsid w:val="6A0A518E"/>
    <w:rsid w:val="6A0B1654"/>
    <w:rsid w:val="6A220495"/>
    <w:rsid w:val="6A305C56"/>
    <w:rsid w:val="6A320549"/>
    <w:rsid w:val="6A441179"/>
    <w:rsid w:val="6A470CAC"/>
    <w:rsid w:val="6A477104"/>
    <w:rsid w:val="6A49525E"/>
    <w:rsid w:val="6A4D4C5B"/>
    <w:rsid w:val="6A5318E5"/>
    <w:rsid w:val="6A6D40BC"/>
    <w:rsid w:val="6A7718D3"/>
    <w:rsid w:val="6A817C93"/>
    <w:rsid w:val="6A83685F"/>
    <w:rsid w:val="6A871F0C"/>
    <w:rsid w:val="6A871F42"/>
    <w:rsid w:val="6A8F740F"/>
    <w:rsid w:val="6A90546D"/>
    <w:rsid w:val="6AA320BF"/>
    <w:rsid w:val="6AA941ED"/>
    <w:rsid w:val="6AB5211E"/>
    <w:rsid w:val="6ABF0E6A"/>
    <w:rsid w:val="6AC774B9"/>
    <w:rsid w:val="6AC92B68"/>
    <w:rsid w:val="6AD06207"/>
    <w:rsid w:val="6AD97F5A"/>
    <w:rsid w:val="6AF42FD3"/>
    <w:rsid w:val="6B037194"/>
    <w:rsid w:val="6B05038A"/>
    <w:rsid w:val="6B2B66DF"/>
    <w:rsid w:val="6B3C4311"/>
    <w:rsid w:val="6B5F4D5D"/>
    <w:rsid w:val="6B63047C"/>
    <w:rsid w:val="6B6B2369"/>
    <w:rsid w:val="6B776695"/>
    <w:rsid w:val="6B8375B6"/>
    <w:rsid w:val="6B8829BB"/>
    <w:rsid w:val="6B895A27"/>
    <w:rsid w:val="6B8A0EE1"/>
    <w:rsid w:val="6B9A59AF"/>
    <w:rsid w:val="6BA076F0"/>
    <w:rsid w:val="6BA373BC"/>
    <w:rsid w:val="6BAF081D"/>
    <w:rsid w:val="6BBB2B0A"/>
    <w:rsid w:val="6BC3763E"/>
    <w:rsid w:val="6BC568DE"/>
    <w:rsid w:val="6BCA00F3"/>
    <w:rsid w:val="6BD2215A"/>
    <w:rsid w:val="6BD563C1"/>
    <w:rsid w:val="6BD825EB"/>
    <w:rsid w:val="6BDA756C"/>
    <w:rsid w:val="6BDB0DC9"/>
    <w:rsid w:val="6BDC6711"/>
    <w:rsid w:val="6BDD2514"/>
    <w:rsid w:val="6BE317ED"/>
    <w:rsid w:val="6BE62E60"/>
    <w:rsid w:val="6BEB340B"/>
    <w:rsid w:val="6BF74D08"/>
    <w:rsid w:val="6BFE0F82"/>
    <w:rsid w:val="6BFF36AF"/>
    <w:rsid w:val="6C0A7926"/>
    <w:rsid w:val="6C144674"/>
    <w:rsid w:val="6C185E54"/>
    <w:rsid w:val="6C266100"/>
    <w:rsid w:val="6C2A325F"/>
    <w:rsid w:val="6C2E38EE"/>
    <w:rsid w:val="6C3252B7"/>
    <w:rsid w:val="6C3811AE"/>
    <w:rsid w:val="6C4E6FC1"/>
    <w:rsid w:val="6C5164C2"/>
    <w:rsid w:val="6C51775B"/>
    <w:rsid w:val="6C530C10"/>
    <w:rsid w:val="6C576A17"/>
    <w:rsid w:val="6C602F3C"/>
    <w:rsid w:val="6C647BD2"/>
    <w:rsid w:val="6C774EA5"/>
    <w:rsid w:val="6C77611C"/>
    <w:rsid w:val="6C782D13"/>
    <w:rsid w:val="6C7A1CE6"/>
    <w:rsid w:val="6C7D1340"/>
    <w:rsid w:val="6C8A7F22"/>
    <w:rsid w:val="6C8E2466"/>
    <w:rsid w:val="6C920A95"/>
    <w:rsid w:val="6C995287"/>
    <w:rsid w:val="6C9D26A9"/>
    <w:rsid w:val="6CA21EAA"/>
    <w:rsid w:val="6CB338B3"/>
    <w:rsid w:val="6CB561E6"/>
    <w:rsid w:val="6CBC16C5"/>
    <w:rsid w:val="6CC02E2E"/>
    <w:rsid w:val="6CC17618"/>
    <w:rsid w:val="6CD04B41"/>
    <w:rsid w:val="6CD96E67"/>
    <w:rsid w:val="6CDC2D7F"/>
    <w:rsid w:val="6CE27AF9"/>
    <w:rsid w:val="6CE30221"/>
    <w:rsid w:val="6CF83B19"/>
    <w:rsid w:val="6D001895"/>
    <w:rsid w:val="6D1B4843"/>
    <w:rsid w:val="6D1C06E9"/>
    <w:rsid w:val="6D1C083E"/>
    <w:rsid w:val="6D1F63B8"/>
    <w:rsid w:val="6D242CB5"/>
    <w:rsid w:val="6D324CAD"/>
    <w:rsid w:val="6D347EA9"/>
    <w:rsid w:val="6D3A1767"/>
    <w:rsid w:val="6D3B587B"/>
    <w:rsid w:val="6D594AFC"/>
    <w:rsid w:val="6D5B1838"/>
    <w:rsid w:val="6D5B4695"/>
    <w:rsid w:val="6D5E256C"/>
    <w:rsid w:val="6D62444F"/>
    <w:rsid w:val="6D696D90"/>
    <w:rsid w:val="6D7F25C1"/>
    <w:rsid w:val="6DBB120B"/>
    <w:rsid w:val="6DBE1A43"/>
    <w:rsid w:val="6DCC5ABE"/>
    <w:rsid w:val="6DCF476F"/>
    <w:rsid w:val="6DD2377C"/>
    <w:rsid w:val="6DE80006"/>
    <w:rsid w:val="6DF04651"/>
    <w:rsid w:val="6DF37E0D"/>
    <w:rsid w:val="6DF825E5"/>
    <w:rsid w:val="6E010E59"/>
    <w:rsid w:val="6E037B96"/>
    <w:rsid w:val="6E0D3650"/>
    <w:rsid w:val="6E193D66"/>
    <w:rsid w:val="6E261003"/>
    <w:rsid w:val="6E282CF9"/>
    <w:rsid w:val="6E2D2C94"/>
    <w:rsid w:val="6E453A45"/>
    <w:rsid w:val="6E461B04"/>
    <w:rsid w:val="6E582A2C"/>
    <w:rsid w:val="6E6011F9"/>
    <w:rsid w:val="6E6E1524"/>
    <w:rsid w:val="6E7E2890"/>
    <w:rsid w:val="6E825693"/>
    <w:rsid w:val="6EA04EEC"/>
    <w:rsid w:val="6EA13BFA"/>
    <w:rsid w:val="6EA76420"/>
    <w:rsid w:val="6EC15B86"/>
    <w:rsid w:val="6EC30BAF"/>
    <w:rsid w:val="6EC543D7"/>
    <w:rsid w:val="6EE54ACA"/>
    <w:rsid w:val="6EF7073F"/>
    <w:rsid w:val="6EFF229C"/>
    <w:rsid w:val="6F005E6B"/>
    <w:rsid w:val="6F087740"/>
    <w:rsid w:val="6F1A2251"/>
    <w:rsid w:val="6F20442D"/>
    <w:rsid w:val="6F2A675D"/>
    <w:rsid w:val="6F345466"/>
    <w:rsid w:val="6F5300D9"/>
    <w:rsid w:val="6F54162A"/>
    <w:rsid w:val="6F6C6E54"/>
    <w:rsid w:val="6F757788"/>
    <w:rsid w:val="6F844DBC"/>
    <w:rsid w:val="6F8475AA"/>
    <w:rsid w:val="6F8715EB"/>
    <w:rsid w:val="6F8725F7"/>
    <w:rsid w:val="6F8C1686"/>
    <w:rsid w:val="6F945334"/>
    <w:rsid w:val="6F987FFD"/>
    <w:rsid w:val="6F9F666F"/>
    <w:rsid w:val="6FB04CCE"/>
    <w:rsid w:val="6FBD6232"/>
    <w:rsid w:val="6FC01F8F"/>
    <w:rsid w:val="6FCE5CBB"/>
    <w:rsid w:val="6FD83206"/>
    <w:rsid w:val="6FDC1942"/>
    <w:rsid w:val="6FE06C43"/>
    <w:rsid w:val="6FE20202"/>
    <w:rsid w:val="6FE9286B"/>
    <w:rsid w:val="6FEC283D"/>
    <w:rsid w:val="6FF12F5F"/>
    <w:rsid w:val="6FF93153"/>
    <w:rsid w:val="6FFA2C08"/>
    <w:rsid w:val="700C21C5"/>
    <w:rsid w:val="70165A1F"/>
    <w:rsid w:val="702A275D"/>
    <w:rsid w:val="7032324F"/>
    <w:rsid w:val="703D65DA"/>
    <w:rsid w:val="703F5BF3"/>
    <w:rsid w:val="70431857"/>
    <w:rsid w:val="704C260E"/>
    <w:rsid w:val="70543CE2"/>
    <w:rsid w:val="70561F0A"/>
    <w:rsid w:val="705E3225"/>
    <w:rsid w:val="705E7EB1"/>
    <w:rsid w:val="706458F5"/>
    <w:rsid w:val="707675BB"/>
    <w:rsid w:val="708227A9"/>
    <w:rsid w:val="7083367B"/>
    <w:rsid w:val="7086436B"/>
    <w:rsid w:val="70934D6B"/>
    <w:rsid w:val="7099571F"/>
    <w:rsid w:val="709D2DEC"/>
    <w:rsid w:val="709F20B3"/>
    <w:rsid w:val="70A01767"/>
    <w:rsid w:val="70AA46DF"/>
    <w:rsid w:val="70B05B00"/>
    <w:rsid w:val="70B82FD3"/>
    <w:rsid w:val="70B95679"/>
    <w:rsid w:val="70BD3380"/>
    <w:rsid w:val="70C224AB"/>
    <w:rsid w:val="70C37DDF"/>
    <w:rsid w:val="70C432B4"/>
    <w:rsid w:val="70CC28E1"/>
    <w:rsid w:val="70CF4244"/>
    <w:rsid w:val="70D676F5"/>
    <w:rsid w:val="70DF7ED0"/>
    <w:rsid w:val="70EC65A4"/>
    <w:rsid w:val="70F82D59"/>
    <w:rsid w:val="70FE336D"/>
    <w:rsid w:val="71027EBD"/>
    <w:rsid w:val="710515F9"/>
    <w:rsid w:val="711606F7"/>
    <w:rsid w:val="712532FF"/>
    <w:rsid w:val="71275730"/>
    <w:rsid w:val="713043DC"/>
    <w:rsid w:val="7136359B"/>
    <w:rsid w:val="713F108F"/>
    <w:rsid w:val="71414CF0"/>
    <w:rsid w:val="714B6983"/>
    <w:rsid w:val="714E0005"/>
    <w:rsid w:val="714F1722"/>
    <w:rsid w:val="715D1FB3"/>
    <w:rsid w:val="716760E6"/>
    <w:rsid w:val="7169599C"/>
    <w:rsid w:val="7175261E"/>
    <w:rsid w:val="7181610E"/>
    <w:rsid w:val="71854F78"/>
    <w:rsid w:val="71964C59"/>
    <w:rsid w:val="719811F7"/>
    <w:rsid w:val="7198256C"/>
    <w:rsid w:val="719C7B18"/>
    <w:rsid w:val="719D1D20"/>
    <w:rsid w:val="719E7939"/>
    <w:rsid w:val="71A64AFF"/>
    <w:rsid w:val="71BB5741"/>
    <w:rsid w:val="71C10002"/>
    <w:rsid w:val="71C30E32"/>
    <w:rsid w:val="71C43092"/>
    <w:rsid w:val="71CE7B26"/>
    <w:rsid w:val="71E02D3A"/>
    <w:rsid w:val="71E32057"/>
    <w:rsid w:val="71EB7849"/>
    <w:rsid w:val="71F24FB3"/>
    <w:rsid w:val="71F52906"/>
    <w:rsid w:val="720364BC"/>
    <w:rsid w:val="720D1F2F"/>
    <w:rsid w:val="721C7833"/>
    <w:rsid w:val="72231CA7"/>
    <w:rsid w:val="72256327"/>
    <w:rsid w:val="723A2FAE"/>
    <w:rsid w:val="72476FC9"/>
    <w:rsid w:val="725F3FC5"/>
    <w:rsid w:val="726D6FD7"/>
    <w:rsid w:val="7274175D"/>
    <w:rsid w:val="727D4077"/>
    <w:rsid w:val="72863AA7"/>
    <w:rsid w:val="728F7ACD"/>
    <w:rsid w:val="72943159"/>
    <w:rsid w:val="72953AF1"/>
    <w:rsid w:val="72971D67"/>
    <w:rsid w:val="72AF28A7"/>
    <w:rsid w:val="72AF5494"/>
    <w:rsid w:val="72B20521"/>
    <w:rsid w:val="72B42B0B"/>
    <w:rsid w:val="72B80B69"/>
    <w:rsid w:val="72BA7F87"/>
    <w:rsid w:val="72BB7BCC"/>
    <w:rsid w:val="72C32414"/>
    <w:rsid w:val="72C4162D"/>
    <w:rsid w:val="72C805DB"/>
    <w:rsid w:val="72D21A88"/>
    <w:rsid w:val="72DC7380"/>
    <w:rsid w:val="72DE30C9"/>
    <w:rsid w:val="72E328D4"/>
    <w:rsid w:val="72E43F2E"/>
    <w:rsid w:val="72F2109D"/>
    <w:rsid w:val="73150018"/>
    <w:rsid w:val="73150AFC"/>
    <w:rsid w:val="731F0AA8"/>
    <w:rsid w:val="731F472C"/>
    <w:rsid w:val="73225980"/>
    <w:rsid w:val="734C1455"/>
    <w:rsid w:val="735A4CBC"/>
    <w:rsid w:val="73691C33"/>
    <w:rsid w:val="7373536B"/>
    <w:rsid w:val="73770563"/>
    <w:rsid w:val="73795531"/>
    <w:rsid w:val="737D37CC"/>
    <w:rsid w:val="73855D77"/>
    <w:rsid w:val="73880A33"/>
    <w:rsid w:val="738C4998"/>
    <w:rsid w:val="739051CC"/>
    <w:rsid w:val="73A23D3A"/>
    <w:rsid w:val="73A24FAD"/>
    <w:rsid w:val="73AA47FB"/>
    <w:rsid w:val="73AD7669"/>
    <w:rsid w:val="73B04BCD"/>
    <w:rsid w:val="73B65D64"/>
    <w:rsid w:val="73B74401"/>
    <w:rsid w:val="73BC2AB0"/>
    <w:rsid w:val="73BC476F"/>
    <w:rsid w:val="73D14BBF"/>
    <w:rsid w:val="73D934DE"/>
    <w:rsid w:val="73E26224"/>
    <w:rsid w:val="73E26FB6"/>
    <w:rsid w:val="73EC4687"/>
    <w:rsid w:val="73F73481"/>
    <w:rsid w:val="73FD0584"/>
    <w:rsid w:val="74126BC0"/>
    <w:rsid w:val="74150779"/>
    <w:rsid w:val="741F34C6"/>
    <w:rsid w:val="74273790"/>
    <w:rsid w:val="743304F6"/>
    <w:rsid w:val="743C233A"/>
    <w:rsid w:val="743F310C"/>
    <w:rsid w:val="74432E49"/>
    <w:rsid w:val="74494C94"/>
    <w:rsid w:val="74495482"/>
    <w:rsid w:val="744D309E"/>
    <w:rsid w:val="74591142"/>
    <w:rsid w:val="745C1017"/>
    <w:rsid w:val="745C2583"/>
    <w:rsid w:val="746022ED"/>
    <w:rsid w:val="747B47C1"/>
    <w:rsid w:val="747B6FB9"/>
    <w:rsid w:val="7482415F"/>
    <w:rsid w:val="748969B2"/>
    <w:rsid w:val="7492222E"/>
    <w:rsid w:val="749C6BDB"/>
    <w:rsid w:val="749F4C63"/>
    <w:rsid w:val="74A76C06"/>
    <w:rsid w:val="74C11875"/>
    <w:rsid w:val="74C177D1"/>
    <w:rsid w:val="74C74622"/>
    <w:rsid w:val="74D329FB"/>
    <w:rsid w:val="74D57736"/>
    <w:rsid w:val="74D76582"/>
    <w:rsid w:val="74E30911"/>
    <w:rsid w:val="74E41769"/>
    <w:rsid w:val="74E750F1"/>
    <w:rsid w:val="74F219DB"/>
    <w:rsid w:val="74F856DB"/>
    <w:rsid w:val="74FD6AF9"/>
    <w:rsid w:val="750C6A6D"/>
    <w:rsid w:val="7514582F"/>
    <w:rsid w:val="751731ED"/>
    <w:rsid w:val="75207767"/>
    <w:rsid w:val="753C2A26"/>
    <w:rsid w:val="75411BFF"/>
    <w:rsid w:val="754B359F"/>
    <w:rsid w:val="755334CE"/>
    <w:rsid w:val="755F52D0"/>
    <w:rsid w:val="756C77A6"/>
    <w:rsid w:val="756F644C"/>
    <w:rsid w:val="757956AE"/>
    <w:rsid w:val="757D1149"/>
    <w:rsid w:val="75905815"/>
    <w:rsid w:val="75971833"/>
    <w:rsid w:val="75B2655C"/>
    <w:rsid w:val="75B66339"/>
    <w:rsid w:val="75C24F30"/>
    <w:rsid w:val="75C97A4F"/>
    <w:rsid w:val="75CA6FC2"/>
    <w:rsid w:val="75D0102D"/>
    <w:rsid w:val="75D54AA5"/>
    <w:rsid w:val="75D72FE8"/>
    <w:rsid w:val="75D9071B"/>
    <w:rsid w:val="75DA0B91"/>
    <w:rsid w:val="75DD11C7"/>
    <w:rsid w:val="75FE1C7F"/>
    <w:rsid w:val="7608238C"/>
    <w:rsid w:val="76094850"/>
    <w:rsid w:val="760B4156"/>
    <w:rsid w:val="760D6065"/>
    <w:rsid w:val="760D6311"/>
    <w:rsid w:val="76133266"/>
    <w:rsid w:val="762773F9"/>
    <w:rsid w:val="762A6911"/>
    <w:rsid w:val="762B2034"/>
    <w:rsid w:val="762B7BC5"/>
    <w:rsid w:val="762D7A78"/>
    <w:rsid w:val="762E37CF"/>
    <w:rsid w:val="76386FA7"/>
    <w:rsid w:val="764A13AC"/>
    <w:rsid w:val="76504B2A"/>
    <w:rsid w:val="76515480"/>
    <w:rsid w:val="76574C18"/>
    <w:rsid w:val="76697971"/>
    <w:rsid w:val="76742690"/>
    <w:rsid w:val="767A6AA8"/>
    <w:rsid w:val="767D65DB"/>
    <w:rsid w:val="76884579"/>
    <w:rsid w:val="768D6682"/>
    <w:rsid w:val="769B21E7"/>
    <w:rsid w:val="76AD0C6B"/>
    <w:rsid w:val="76B06C4E"/>
    <w:rsid w:val="76C34E0E"/>
    <w:rsid w:val="76C81D35"/>
    <w:rsid w:val="76CB270C"/>
    <w:rsid w:val="76E00191"/>
    <w:rsid w:val="76F529B8"/>
    <w:rsid w:val="773310E3"/>
    <w:rsid w:val="77511B2F"/>
    <w:rsid w:val="775C652E"/>
    <w:rsid w:val="776B358A"/>
    <w:rsid w:val="77732A69"/>
    <w:rsid w:val="777379AB"/>
    <w:rsid w:val="777929C9"/>
    <w:rsid w:val="778545A4"/>
    <w:rsid w:val="77880CD0"/>
    <w:rsid w:val="77885880"/>
    <w:rsid w:val="778D382F"/>
    <w:rsid w:val="779043E2"/>
    <w:rsid w:val="779150B9"/>
    <w:rsid w:val="779D7FD8"/>
    <w:rsid w:val="77A67511"/>
    <w:rsid w:val="77B203F2"/>
    <w:rsid w:val="77B34168"/>
    <w:rsid w:val="77B853CE"/>
    <w:rsid w:val="77BE1E71"/>
    <w:rsid w:val="77C36C3C"/>
    <w:rsid w:val="77CA1EBC"/>
    <w:rsid w:val="77CB0788"/>
    <w:rsid w:val="77D24250"/>
    <w:rsid w:val="77D42406"/>
    <w:rsid w:val="77DB6F08"/>
    <w:rsid w:val="77DF0EAD"/>
    <w:rsid w:val="77F35A3B"/>
    <w:rsid w:val="78067BF4"/>
    <w:rsid w:val="780D49C2"/>
    <w:rsid w:val="78102276"/>
    <w:rsid w:val="78164B46"/>
    <w:rsid w:val="7832524F"/>
    <w:rsid w:val="784D556E"/>
    <w:rsid w:val="784E76DC"/>
    <w:rsid w:val="786A010A"/>
    <w:rsid w:val="787C42DD"/>
    <w:rsid w:val="788A5451"/>
    <w:rsid w:val="78970B5C"/>
    <w:rsid w:val="789D4FA3"/>
    <w:rsid w:val="78A31051"/>
    <w:rsid w:val="78A504C8"/>
    <w:rsid w:val="78B13B0E"/>
    <w:rsid w:val="78B8775D"/>
    <w:rsid w:val="78C84750"/>
    <w:rsid w:val="78CC045C"/>
    <w:rsid w:val="78CC1BBB"/>
    <w:rsid w:val="78DA2088"/>
    <w:rsid w:val="78DF77D5"/>
    <w:rsid w:val="78E656E7"/>
    <w:rsid w:val="78E75646"/>
    <w:rsid w:val="78EB5EFD"/>
    <w:rsid w:val="78F43600"/>
    <w:rsid w:val="78F8672E"/>
    <w:rsid w:val="78FC3171"/>
    <w:rsid w:val="79062161"/>
    <w:rsid w:val="790F252D"/>
    <w:rsid w:val="7915037B"/>
    <w:rsid w:val="79162D4D"/>
    <w:rsid w:val="792D38DD"/>
    <w:rsid w:val="793C27D0"/>
    <w:rsid w:val="79481F08"/>
    <w:rsid w:val="79496D88"/>
    <w:rsid w:val="794C1DA6"/>
    <w:rsid w:val="795165F5"/>
    <w:rsid w:val="795874B4"/>
    <w:rsid w:val="795A0A1C"/>
    <w:rsid w:val="795A748D"/>
    <w:rsid w:val="795F2BDC"/>
    <w:rsid w:val="7961710C"/>
    <w:rsid w:val="796226B7"/>
    <w:rsid w:val="796353FD"/>
    <w:rsid w:val="79677BB8"/>
    <w:rsid w:val="796C2588"/>
    <w:rsid w:val="796E440F"/>
    <w:rsid w:val="79724F7D"/>
    <w:rsid w:val="798118BF"/>
    <w:rsid w:val="7983035D"/>
    <w:rsid w:val="798736BF"/>
    <w:rsid w:val="798813F5"/>
    <w:rsid w:val="798D7A55"/>
    <w:rsid w:val="799747B9"/>
    <w:rsid w:val="799C5797"/>
    <w:rsid w:val="79A156EC"/>
    <w:rsid w:val="79AE532D"/>
    <w:rsid w:val="79AF1CE3"/>
    <w:rsid w:val="79B44348"/>
    <w:rsid w:val="79B54A1C"/>
    <w:rsid w:val="79C32FEF"/>
    <w:rsid w:val="79C379F9"/>
    <w:rsid w:val="79D30053"/>
    <w:rsid w:val="79DD4E28"/>
    <w:rsid w:val="79DE7C8F"/>
    <w:rsid w:val="79E11BB0"/>
    <w:rsid w:val="79E36BB6"/>
    <w:rsid w:val="79E52441"/>
    <w:rsid w:val="79F44E1F"/>
    <w:rsid w:val="7A0516E2"/>
    <w:rsid w:val="7A136E37"/>
    <w:rsid w:val="7A2013FC"/>
    <w:rsid w:val="7A215327"/>
    <w:rsid w:val="7A293534"/>
    <w:rsid w:val="7A356A32"/>
    <w:rsid w:val="7A3643BA"/>
    <w:rsid w:val="7A371718"/>
    <w:rsid w:val="7A380C3F"/>
    <w:rsid w:val="7A495610"/>
    <w:rsid w:val="7A4C0DA0"/>
    <w:rsid w:val="7A576A80"/>
    <w:rsid w:val="7A5C7ABE"/>
    <w:rsid w:val="7A671E2B"/>
    <w:rsid w:val="7A6840CE"/>
    <w:rsid w:val="7A7F4BEA"/>
    <w:rsid w:val="7A894151"/>
    <w:rsid w:val="7A975B0F"/>
    <w:rsid w:val="7AA9318C"/>
    <w:rsid w:val="7AB979C0"/>
    <w:rsid w:val="7ABD6E5B"/>
    <w:rsid w:val="7AC0753C"/>
    <w:rsid w:val="7AC330B7"/>
    <w:rsid w:val="7ACC2256"/>
    <w:rsid w:val="7ACE7B72"/>
    <w:rsid w:val="7ADB19DB"/>
    <w:rsid w:val="7ADC193F"/>
    <w:rsid w:val="7AE832A5"/>
    <w:rsid w:val="7B036EB4"/>
    <w:rsid w:val="7B04326A"/>
    <w:rsid w:val="7B0D3C52"/>
    <w:rsid w:val="7B104866"/>
    <w:rsid w:val="7B1810CF"/>
    <w:rsid w:val="7B2A6F49"/>
    <w:rsid w:val="7B2C61C2"/>
    <w:rsid w:val="7B2E353D"/>
    <w:rsid w:val="7B390BF2"/>
    <w:rsid w:val="7B3E48CE"/>
    <w:rsid w:val="7B4162C7"/>
    <w:rsid w:val="7B4C7AD1"/>
    <w:rsid w:val="7B4E202E"/>
    <w:rsid w:val="7B500604"/>
    <w:rsid w:val="7B534E2D"/>
    <w:rsid w:val="7B683189"/>
    <w:rsid w:val="7B6A1815"/>
    <w:rsid w:val="7B720C3F"/>
    <w:rsid w:val="7B7B1B1C"/>
    <w:rsid w:val="7B98535A"/>
    <w:rsid w:val="7BAA5C6C"/>
    <w:rsid w:val="7BAE48FC"/>
    <w:rsid w:val="7BB267FD"/>
    <w:rsid w:val="7BB83DF8"/>
    <w:rsid w:val="7BBA2E35"/>
    <w:rsid w:val="7BC4644F"/>
    <w:rsid w:val="7BC76B4E"/>
    <w:rsid w:val="7BCC163B"/>
    <w:rsid w:val="7BE0388D"/>
    <w:rsid w:val="7BE66796"/>
    <w:rsid w:val="7BEB42B2"/>
    <w:rsid w:val="7BEC5887"/>
    <w:rsid w:val="7BFF4559"/>
    <w:rsid w:val="7C0827FE"/>
    <w:rsid w:val="7C1A756B"/>
    <w:rsid w:val="7C1B1028"/>
    <w:rsid w:val="7C226546"/>
    <w:rsid w:val="7C2321EE"/>
    <w:rsid w:val="7C27638A"/>
    <w:rsid w:val="7C2B2034"/>
    <w:rsid w:val="7C2D4906"/>
    <w:rsid w:val="7C2F354F"/>
    <w:rsid w:val="7C3043FE"/>
    <w:rsid w:val="7C395682"/>
    <w:rsid w:val="7C4F607B"/>
    <w:rsid w:val="7C583982"/>
    <w:rsid w:val="7C591C2A"/>
    <w:rsid w:val="7C5D29FA"/>
    <w:rsid w:val="7C6048EB"/>
    <w:rsid w:val="7C7D0B32"/>
    <w:rsid w:val="7C8C5EFB"/>
    <w:rsid w:val="7C941196"/>
    <w:rsid w:val="7CA31AB6"/>
    <w:rsid w:val="7CA4518D"/>
    <w:rsid w:val="7CAA5140"/>
    <w:rsid w:val="7CB11CD3"/>
    <w:rsid w:val="7CBE5D37"/>
    <w:rsid w:val="7CC620FB"/>
    <w:rsid w:val="7CCD69E1"/>
    <w:rsid w:val="7CD17149"/>
    <w:rsid w:val="7CD730F8"/>
    <w:rsid w:val="7CF83CD0"/>
    <w:rsid w:val="7CFD2609"/>
    <w:rsid w:val="7D027F2A"/>
    <w:rsid w:val="7D061726"/>
    <w:rsid w:val="7D074804"/>
    <w:rsid w:val="7D0A1A32"/>
    <w:rsid w:val="7D0C1069"/>
    <w:rsid w:val="7D0E3B6C"/>
    <w:rsid w:val="7D0E4B5B"/>
    <w:rsid w:val="7D1D6CEB"/>
    <w:rsid w:val="7D20687F"/>
    <w:rsid w:val="7D264C50"/>
    <w:rsid w:val="7D33504E"/>
    <w:rsid w:val="7D362C54"/>
    <w:rsid w:val="7D3C08AA"/>
    <w:rsid w:val="7D4928DE"/>
    <w:rsid w:val="7D4C641E"/>
    <w:rsid w:val="7D53387A"/>
    <w:rsid w:val="7D5C493C"/>
    <w:rsid w:val="7D635300"/>
    <w:rsid w:val="7DAD053D"/>
    <w:rsid w:val="7DAE540F"/>
    <w:rsid w:val="7DB07FBB"/>
    <w:rsid w:val="7DBA647B"/>
    <w:rsid w:val="7DBB157D"/>
    <w:rsid w:val="7DBC7CD9"/>
    <w:rsid w:val="7DBE4BFA"/>
    <w:rsid w:val="7DC05D62"/>
    <w:rsid w:val="7DE07F17"/>
    <w:rsid w:val="7DEA41A0"/>
    <w:rsid w:val="7DF16C5F"/>
    <w:rsid w:val="7DF5241B"/>
    <w:rsid w:val="7DF7247F"/>
    <w:rsid w:val="7E08116D"/>
    <w:rsid w:val="7E1F2DD5"/>
    <w:rsid w:val="7E20473E"/>
    <w:rsid w:val="7E243046"/>
    <w:rsid w:val="7E4313B6"/>
    <w:rsid w:val="7E480690"/>
    <w:rsid w:val="7E69685C"/>
    <w:rsid w:val="7E7F420C"/>
    <w:rsid w:val="7E804FCB"/>
    <w:rsid w:val="7E833E34"/>
    <w:rsid w:val="7E88494F"/>
    <w:rsid w:val="7E8E42BF"/>
    <w:rsid w:val="7E9212CE"/>
    <w:rsid w:val="7E971EEC"/>
    <w:rsid w:val="7E9F62B8"/>
    <w:rsid w:val="7EB540EC"/>
    <w:rsid w:val="7EB87BC5"/>
    <w:rsid w:val="7ED44F77"/>
    <w:rsid w:val="7ED544B5"/>
    <w:rsid w:val="7EDB49B6"/>
    <w:rsid w:val="7EF15D28"/>
    <w:rsid w:val="7EF249D0"/>
    <w:rsid w:val="7F0D0F48"/>
    <w:rsid w:val="7F1B5E8E"/>
    <w:rsid w:val="7F2E4552"/>
    <w:rsid w:val="7F3A609B"/>
    <w:rsid w:val="7F462997"/>
    <w:rsid w:val="7F5117A9"/>
    <w:rsid w:val="7F64664B"/>
    <w:rsid w:val="7F6B7D7D"/>
    <w:rsid w:val="7F6E4313"/>
    <w:rsid w:val="7F7119F3"/>
    <w:rsid w:val="7F786EE5"/>
    <w:rsid w:val="7F7944B2"/>
    <w:rsid w:val="7F8404D1"/>
    <w:rsid w:val="7F853AB6"/>
    <w:rsid w:val="7F8D4C51"/>
    <w:rsid w:val="7F8F43FC"/>
    <w:rsid w:val="7FA23687"/>
    <w:rsid w:val="7FA37F21"/>
    <w:rsid w:val="7FA60AA9"/>
    <w:rsid w:val="7FA71F3A"/>
    <w:rsid w:val="7FBF2A37"/>
    <w:rsid w:val="7FC379A1"/>
    <w:rsid w:val="7FC638A9"/>
    <w:rsid w:val="7FCB755C"/>
    <w:rsid w:val="7FCC02AE"/>
    <w:rsid w:val="7FD663AD"/>
    <w:rsid w:val="7FE15B6A"/>
    <w:rsid w:val="7FF07C1F"/>
    <w:rsid w:val="7FF524C2"/>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4">
    <w:name w:val="heading 2"/>
    <w:basedOn w:val="1"/>
    <w:next w:val="1"/>
    <w:link w:val="36"/>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sz w:val="24"/>
      <w:szCs w:val="24"/>
    </w:rPr>
  </w:style>
  <w:style w:type="paragraph" w:styleId="10">
    <w:name w:val="Normal Indent"/>
    <w:basedOn w:val="1"/>
    <w:qFormat/>
    <w:uiPriority w:val="0"/>
    <w:pPr>
      <w:ind w:firstLine="420" w:firstLineChars="200"/>
    </w:pPr>
    <w:rPr>
      <w:rFonts w:asciiTheme="minorHAnsi" w:hAnsiTheme="minorHAnsi" w:eastAsiaTheme="minorEastAsia" w:cstheme="minorBidi"/>
    </w:rPr>
  </w:style>
  <w:style w:type="paragraph" w:styleId="11">
    <w:name w:val="annotation text"/>
    <w:basedOn w:val="1"/>
    <w:qFormat/>
    <w:uiPriority w:val="0"/>
    <w:pPr>
      <w:jc w:val="left"/>
    </w:pPr>
  </w:style>
  <w:style w:type="paragraph" w:styleId="12">
    <w:name w:val="Body Text Indent"/>
    <w:basedOn w:val="1"/>
    <w:qFormat/>
    <w:uiPriority w:val="0"/>
    <w:pPr>
      <w:ind w:firstLine="538" w:firstLineChars="168"/>
      <w:jc w:val="left"/>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4">
    <w:name w:val="footer"/>
    <w:basedOn w:val="1"/>
    <w:link w:val="35"/>
    <w:qFormat/>
    <w:uiPriority w:val="0"/>
    <w:pPr>
      <w:snapToGrid w:val="0"/>
      <w:spacing w:line="240" w:lineRule="auto"/>
      <w:ind w:firstLine="0" w:firstLineChars="0"/>
      <w:jc w:val="left"/>
    </w:pPr>
    <w:rPr>
      <w:rFonts w:ascii="宋体" w:hAnsi="宋体" w:eastAsia="宋体"/>
      <w:sz w:val="18"/>
      <w:szCs w:val="18"/>
    </w:rPr>
  </w:style>
  <w:style w:type="paragraph" w:styleId="15">
    <w:name w:val="header"/>
    <w:basedOn w:val="1"/>
    <w:link w:val="34"/>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6">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7">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qFormat/>
    <w:uiPriority w:val="0"/>
    <w:rPr>
      <w:rFonts w:hint="eastAsia" w:ascii="微软雅黑" w:hAnsi="微软雅黑" w:eastAsia="微软雅黑" w:cs="微软雅黑"/>
      <w:color w:val="02396F"/>
      <w:u w:val="single"/>
    </w:rPr>
  </w:style>
  <w:style w:type="character" w:styleId="23">
    <w:name w:val="Hyperlink"/>
    <w:basedOn w:val="21"/>
    <w:qFormat/>
    <w:uiPriority w:val="0"/>
    <w:rPr>
      <w:color w:val="0000FF"/>
      <w:u w:val="single"/>
    </w:rPr>
  </w:style>
  <w:style w:type="paragraph" w:customStyle="1" w:styleId="24">
    <w:name w:val="14、“第一章”一级标题"/>
    <w:basedOn w:val="25"/>
    <w:qFormat/>
    <w:uiPriority w:val="0"/>
    <w:pPr>
      <w:numPr>
        <w:ilvl w:val="0"/>
        <w:numId w:val="2"/>
      </w:numPr>
      <w:spacing w:before="50" w:beforeLines="50" w:after="50" w:afterLines="50" w:line="240" w:lineRule="auto"/>
      <w:jc w:val="center"/>
      <w:outlineLvl w:val="0"/>
    </w:pPr>
    <w:rPr>
      <w:b/>
      <w:sz w:val="36"/>
    </w:rPr>
  </w:style>
  <w:style w:type="paragraph" w:customStyle="1" w:styleId="25">
    <w:name w:val="01、普通正文"/>
    <w:basedOn w:val="1"/>
    <w:link w:val="56"/>
    <w:qFormat/>
    <w:uiPriority w:val="0"/>
    <w:pPr>
      <w:wordWrap w:val="0"/>
      <w:topLinePunct/>
      <w:ind w:firstLine="0" w:firstLineChars="0"/>
    </w:pPr>
    <w:rPr>
      <w:rFonts w:ascii="宋体" w:hAnsi="宋体" w:eastAsia="宋体"/>
      <w:snapToGrid w:val="0"/>
    </w:rPr>
  </w:style>
  <w:style w:type="paragraph" w:customStyle="1" w:styleId="26">
    <w:name w:val="15、“一、”二级标题"/>
    <w:basedOn w:val="1"/>
    <w:qFormat/>
    <w:uiPriority w:val="0"/>
    <w:pPr>
      <w:numPr>
        <w:ilvl w:val="1"/>
        <w:numId w:val="2"/>
      </w:numPr>
      <w:wordWrap w:val="0"/>
      <w:topLinePunct/>
      <w:ind w:firstLine="803" w:firstLineChars="200"/>
      <w:outlineLvl w:val="1"/>
    </w:pPr>
    <w:rPr>
      <w:rFonts w:ascii="宋体" w:hAnsi="宋体" w:eastAsia="宋体"/>
      <w:b/>
    </w:rPr>
  </w:style>
  <w:style w:type="paragraph" w:customStyle="1" w:styleId="27">
    <w:name w:val="16、“(一)”三级标题"/>
    <w:basedOn w:val="25"/>
    <w:link w:val="54"/>
    <w:qFormat/>
    <w:uiPriority w:val="0"/>
    <w:pPr>
      <w:numPr>
        <w:ilvl w:val="2"/>
        <w:numId w:val="2"/>
      </w:numPr>
      <w:ind w:firstLine="803" w:firstLineChars="200"/>
      <w:outlineLvl w:val="2"/>
    </w:pPr>
    <w:rPr>
      <w:rFonts w:ascii="宋体" w:hAnsi="宋体" w:eastAsia="宋体"/>
      <w:b/>
    </w:rPr>
  </w:style>
  <w:style w:type="paragraph" w:customStyle="1" w:styleId="28">
    <w:name w:val="17“1.”四级标题"/>
    <w:basedOn w:val="29"/>
    <w:qFormat/>
    <w:uiPriority w:val="0"/>
    <w:pPr>
      <w:numPr>
        <w:ilvl w:val="3"/>
        <w:numId w:val="2"/>
      </w:numPr>
      <w:ind w:firstLine="803" w:firstLineChars="200"/>
    </w:pPr>
    <w:rPr>
      <w:rFonts w:ascii="宋体" w:hAnsi="宋体" w:eastAsia="宋体"/>
    </w:rPr>
  </w:style>
  <w:style w:type="paragraph" w:customStyle="1" w:styleId="29">
    <w:name w:val="02、首行缩进2字符正文"/>
    <w:basedOn w:val="1"/>
    <w:link w:val="55"/>
    <w:qFormat/>
    <w:uiPriority w:val="0"/>
    <w:pPr>
      <w:wordWrap w:val="0"/>
      <w:topLinePunct/>
      <w:ind w:firstLine="480" w:firstLineChars="200"/>
    </w:pPr>
    <w:rPr>
      <w:rFonts w:ascii="宋体" w:hAnsi="宋体" w:eastAsia="宋体"/>
    </w:rPr>
  </w:style>
  <w:style w:type="paragraph" w:customStyle="1" w:styleId="30">
    <w:name w:val="18、“1.1”五级标题"/>
    <w:basedOn w:val="28"/>
    <w:qFormat/>
    <w:uiPriority w:val="0"/>
    <w:pPr>
      <w:numPr>
        <w:ilvl w:val="4"/>
        <w:numId w:val="2"/>
      </w:numPr>
      <w:ind w:firstLine="803" w:firstLineChars="200"/>
    </w:pPr>
  </w:style>
  <w:style w:type="paragraph" w:customStyle="1" w:styleId="31">
    <w:name w:val="19、“(1)”六级标题"/>
    <w:basedOn w:val="28"/>
    <w:qFormat/>
    <w:uiPriority w:val="0"/>
    <w:pPr>
      <w:numPr>
        <w:ilvl w:val="5"/>
        <w:numId w:val="2"/>
      </w:numPr>
      <w:ind w:firstLine="803" w:firstLineChars="200"/>
    </w:pPr>
  </w:style>
  <w:style w:type="paragraph" w:customStyle="1" w:styleId="32">
    <w:name w:val="标题 5（有编号）（绿盟科技）"/>
    <w:basedOn w:val="1"/>
    <w:next w:val="33"/>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33">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4">
    <w:name w:val="页眉 Char"/>
    <w:basedOn w:val="21"/>
    <w:link w:val="15"/>
    <w:qFormat/>
    <w:uiPriority w:val="0"/>
    <w:rPr>
      <w:rFonts w:ascii="宋体" w:hAnsi="宋体" w:eastAsia="宋体" w:cstheme="minorBidi"/>
      <w:kern w:val="2"/>
      <w:sz w:val="18"/>
      <w:szCs w:val="18"/>
    </w:rPr>
  </w:style>
  <w:style w:type="character" w:customStyle="1" w:styleId="35">
    <w:name w:val="页脚 Char"/>
    <w:basedOn w:val="21"/>
    <w:link w:val="14"/>
    <w:qFormat/>
    <w:uiPriority w:val="0"/>
    <w:rPr>
      <w:rFonts w:ascii="宋体" w:hAnsi="宋体" w:eastAsia="宋体" w:cstheme="minorBidi"/>
      <w:kern w:val="2"/>
      <w:sz w:val="18"/>
      <w:szCs w:val="18"/>
    </w:rPr>
  </w:style>
  <w:style w:type="character" w:customStyle="1" w:styleId="36">
    <w:name w:val="标题 2 Char"/>
    <w:basedOn w:val="21"/>
    <w:link w:val="4"/>
    <w:qFormat/>
    <w:uiPriority w:val="0"/>
    <w:rPr>
      <w:rFonts w:ascii="Arial" w:hAnsi="Arial" w:eastAsia="黑体"/>
      <w:b/>
      <w:sz w:val="28"/>
    </w:rPr>
  </w:style>
  <w:style w:type="paragraph" w:customStyle="1" w:styleId="37">
    <w:name w:val="05、“(一)”正文三级标题"/>
    <w:basedOn w:val="1"/>
    <w:link w:val="58"/>
    <w:qFormat/>
    <w:uiPriority w:val="0"/>
    <w:pPr>
      <w:numPr>
        <w:ilvl w:val="1"/>
        <w:numId w:val="1"/>
      </w:numPr>
      <w:wordWrap w:val="0"/>
      <w:topLinePunct/>
      <w:ind w:firstLine="803" w:firstLineChars="200"/>
    </w:pPr>
    <w:rPr>
      <w:rFonts w:ascii="宋体" w:hAnsi="宋体" w:eastAsia="宋体"/>
    </w:rPr>
  </w:style>
  <w:style w:type="paragraph" w:customStyle="1" w:styleId="38">
    <w:name w:val="00、封面正文(与其他内容无关的格式)"/>
    <w:basedOn w:val="1"/>
    <w:qFormat/>
    <w:uiPriority w:val="0"/>
    <w:rPr>
      <w:rFonts w:ascii="宋体" w:hAnsi="宋体" w:eastAsia="宋体"/>
    </w:rPr>
  </w:style>
  <w:style w:type="paragraph" w:customStyle="1" w:styleId="39">
    <w:name w:val="06、“1.”正文四级标题"/>
    <w:basedOn w:val="1"/>
    <w:link w:val="60"/>
    <w:qFormat/>
    <w:uiPriority w:val="0"/>
    <w:pPr>
      <w:numPr>
        <w:ilvl w:val="2"/>
        <w:numId w:val="1"/>
      </w:numPr>
      <w:wordWrap w:val="0"/>
      <w:topLinePunct/>
      <w:ind w:firstLine="803" w:firstLineChars="200"/>
    </w:pPr>
    <w:rPr>
      <w:rFonts w:ascii="宋体" w:hAnsi="宋体" w:eastAsia="宋体"/>
      <w:snapToGrid w:val="0"/>
    </w:rPr>
  </w:style>
  <w:style w:type="paragraph" w:customStyle="1" w:styleId="40">
    <w:name w:val="07、“1.1”正文五级标题"/>
    <w:basedOn w:val="1"/>
    <w:link w:val="52"/>
    <w:qFormat/>
    <w:uiPriority w:val="0"/>
    <w:pPr>
      <w:numPr>
        <w:ilvl w:val="3"/>
        <w:numId w:val="1"/>
      </w:numPr>
      <w:ind w:firstLine="803" w:firstLineChars="200"/>
    </w:pPr>
    <w:rPr>
      <w:rFonts w:ascii="宋体" w:hAnsi="宋体" w:eastAsia="宋体"/>
    </w:rPr>
  </w:style>
  <w:style w:type="paragraph" w:customStyle="1" w:styleId="41">
    <w:name w:val="08、“(1)”正文六级标题"/>
    <w:basedOn w:val="1"/>
    <w:link w:val="61"/>
    <w:qFormat/>
    <w:uiPriority w:val="0"/>
    <w:pPr>
      <w:numPr>
        <w:ilvl w:val="4"/>
        <w:numId w:val="1"/>
      </w:numPr>
      <w:ind w:firstLine="803" w:firstLineChars="200"/>
    </w:pPr>
    <w:rPr>
      <w:rFonts w:ascii="宋体" w:hAnsi="宋体" w:eastAsia="宋体"/>
      <w:snapToGrid w:val="0"/>
    </w:rPr>
  </w:style>
  <w:style w:type="paragraph" w:customStyle="1" w:styleId="42">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43">
    <w:name w:val="10、“1.1”表格内二级标题"/>
    <w:basedOn w:val="1"/>
    <w:link w:val="51"/>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4">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5">
    <w:name w:val="12、表格内左对齐正文"/>
    <w:basedOn w:val="1"/>
    <w:link w:val="62"/>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46">
    <w:name w:val="20、第二章“一、”二级标题"/>
    <w:basedOn w:val="25"/>
    <w:qFormat/>
    <w:uiPriority w:val="0"/>
    <w:pPr>
      <w:numPr>
        <w:ilvl w:val="0"/>
        <w:numId w:val="5"/>
      </w:numPr>
      <w:spacing w:before="50" w:beforeLines="50" w:after="50" w:afterLines="50"/>
      <w:jc w:val="center"/>
      <w:outlineLvl w:val="1"/>
    </w:pPr>
    <w:rPr>
      <w:rFonts w:ascii="宋体" w:hAnsi="宋体" w:eastAsia="宋体"/>
      <w:b/>
      <w:sz w:val="32"/>
    </w:rPr>
  </w:style>
  <w:style w:type="paragraph" w:customStyle="1" w:styleId="47">
    <w:name w:val="21、第三章“(一)”三级标题"/>
    <w:basedOn w:val="25"/>
    <w:link w:val="53"/>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customStyle="1" w:styleId="48">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9">
    <w:name w:val="03、“注：”正文(加粗，首行缩进2字符)"/>
    <w:basedOn w:val="25"/>
    <w:link w:val="57"/>
    <w:qFormat/>
    <w:uiPriority w:val="0"/>
    <w:pPr>
      <w:ind w:firstLine="480" w:firstLineChars="200"/>
    </w:pPr>
    <w:rPr>
      <w:b/>
    </w:rPr>
  </w:style>
  <w:style w:type="paragraph" w:customStyle="1" w:styleId="50">
    <w:name w:val="04“一、”正文二级标题"/>
    <w:basedOn w:val="25"/>
    <w:link w:val="59"/>
    <w:qFormat/>
    <w:uiPriority w:val="0"/>
    <w:pPr>
      <w:ind w:firstLine="803" w:firstLineChars="200"/>
    </w:pPr>
  </w:style>
  <w:style w:type="character" w:customStyle="1" w:styleId="51">
    <w:name w:val="10、“1.1”表格内二级标题 Char"/>
    <w:link w:val="43"/>
    <w:qFormat/>
    <w:uiPriority w:val="0"/>
    <w:rPr>
      <w:rFonts w:ascii="宋体" w:hAnsi="宋体" w:eastAsia="宋体"/>
      <w:snapToGrid w:val="0"/>
      <w:sz w:val="21"/>
    </w:rPr>
  </w:style>
  <w:style w:type="character" w:customStyle="1" w:styleId="52">
    <w:name w:val="07、“1.1”正文五级标题 Char"/>
    <w:link w:val="40"/>
    <w:qFormat/>
    <w:uiPriority w:val="0"/>
    <w:rPr>
      <w:rFonts w:ascii="宋体" w:hAnsi="宋体" w:eastAsia="宋体"/>
    </w:rPr>
  </w:style>
  <w:style w:type="character" w:customStyle="1" w:styleId="53">
    <w:name w:val="18、第三章“(一)”三级标题 Char"/>
    <w:link w:val="47"/>
    <w:qFormat/>
    <w:uiPriority w:val="0"/>
    <w:rPr>
      <w:rFonts w:ascii="宋体" w:hAnsi="宋体" w:eastAsia="宋体"/>
      <w:b/>
      <w:sz w:val="28"/>
    </w:rPr>
  </w:style>
  <w:style w:type="character" w:customStyle="1" w:styleId="54">
    <w:name w:val="16、“(一)”三级标题 Char"/>
    <w:link w:val="27"/>
    <w:qFormat/>
    <w:uiPriority w:val="0"/>
    <w:rPr>
      <w:rFonts w:ascii="宋体" w:hAnsi="宋体" w:eastAsia="宋体"/>
      <w:b/>
    </w:rPr>
  </w:style>
  <w:style w:type="character" w:customStyle="1" w:styleId="55">
    <w:name w:val="02、首行缩进2字符正文 Char"/>
    <w:link w:val="29"/>
    <w:qFormat/>
    <w:uiPriority w:val="0"/>
    <w:rPr>
      <w:rFonts w:ascii="宋体" w:hAnsi="宋体" w:eastAsia="宋体"/>
    </w:rPr>
  </w:style>
  <w:style w:type="character" w:customStyle="1" w:styleId="56">
    <w:name w:val="01、普通正文 Char"/>
    <w:link w:val="25"/>
    <w:qFormat/>
    <w:uiPriority w:val="0"/>
    <w:rPr>
      <w:rFonts w:ascii="宋体" w:hAnsi="宋体" w:eastAsia="宋体"/>
      <w:snapToGrid w:val="0"/>
    </w:rPr>
  </w:style>
  <w:style w:type="character" w:customStyle="1" w:styleId="57">
    <w:name w:val="03、“注：”正文(加粗，首行缩进2字符) Char"/>
    <w:link w:val="49"/>
    <w:qFormat/>
    <w:uiPriority w:val="0"/>
    <w:rPr>
      <w:b/>
    </w:rPr>
  </w:style>
  <w:style w:type="character" w:customStyle="1" w:styleId="58">
    <w:name w:val="05、“(一)”正文三级标题 Char"/>
    <w:link w:val="37"/>
    <w:qFormat/>
    <w:uiPriority w:val="0"/>
    <w:rPr>
      <w:rFonts w:ascii="宋体" w:hAnsi="宋体" w:eastAsia="宋体"/>
    </w:rPr>
  </w:style>
  <w:style w:type="character" w:customStyle="1" w:styleId="59">
    <w:name w:val="04“一、”正文二级标题 Char"/>
    <w:link w:val="50"/>
    <w:qFormat/>
    <w:uiPriority w:val="0"/>
  </w:style>
  <w:style w:type="character" w:customStyle="1" w:styleId="60">
    <w:name w:val="06、“1.”正文四级标题 Char"/>
    <w:link w:val="39"/>
    <w:qFormat/>
    <w:uiPriority w:val="0"/>
    <w:rPr>
      <w:rFonts w:ascii="宋体" w:hAnsi="宋体" w:eastAsia="宋体"/>
      <w:snapToGrid w:val="0"/>
    </w:rPr>
  </w:style>
  <w:style w:type="character" w:customStyle="1" w:styleId="61">
    <w:name w:val="08、“(1)”正文六级标题 Char"/>
    <w:link w:val="41"/>
    <w:qFormat/>
    <w:uiPriority w:val="0"/>
    <w:rPr>
      <w:rFonts w:ascii="宋体" w:hAnsi="宋体" w:eastAsia="宋体"/>
      <w:snapToGrid w:val="0"/>
    </w:rPr>
  </w:style>
  <w:style w:type="character" w:customStyle="1" w:styleId="62">
    <w:name w:val="12、表格内左对齐正文 Char"/>
    <w:link w:val="45"/>
    <w:qFormat/>
    <w:uiPriority w:val="0"/>
    <w:rPr>
      <w:rFonts w:ascii="宋体" w:hAnsi="宋体" w:eastAsia="宋体"/>
      <w:snapToGrid w:val="0"/>
      <w:sz w:val="21"/>
    </w:rPr>
  </w:style>
  <w:style w:type="paragraph" w:customStyle="1" w:styleId="63">
    <w:name w:val="样式 首行缩进:  2 字符"/>
    <w:basedOn w:val="1"/>
    <w:qFormat/>
    <w:uiPriority w:val="0"/>
    <w:pPr>
      <w:spacing w:line="400" w:lineRule="exact"/>
      <w:ind w:firstLine="200" w:firstLineChars="200"/>
    </w:pPr>
    <w:rPr>
      <w:rFonts w:cs="宋体"/>
      <w:sz w:val="24"/>
    </w:rPr>
  </w:style>
  <w:style w:type="character" w:customStyle="1" w:styleId="64">
    <w:name w:val="qxdate"/>
    <w:basedOn w:val="21"/>
    <w:qFormat/>
    <w:uiPriority w:val="0"/>
    <w:rPr>
      <w:color w:val="BA2636"/>
      <w:sz w:val="12"/>
      <w:szCs w:val="12"/>
      <w:u w:val="single"/>
    </w:rPr>
  </w:style>
  <w:style w:type="character" w:customStyle="1" w:styleId="65">
    <w:name w:val="displayarti"/>
    <w:basedOn w:val="21"/>
    <w:qFormat/>
    <w:uiPriority w:val="0"/>
    <w:rPr>
      <w:color w:val="FFFFFF"/>
      <w:shd w:val="clear" w:fill="A00000"/>
    </w:rPr>
  </w:style>
  <w:style w:type="character" w:customStyle="1" w:styleId="66">
    <w:name w:val="cfdate"/>
    <w:basedOn w:val="21"/>
    <w:qFormat/>
    <w:uiPriority w:val="0"/>
    <w:rPr>
      <w:color w:val="333333"/>
      <w:sz w:val="12"/>
      <w:szCs w:val="12"/>
    </w:rPr>
  </w:style>
  <w:style w:type="character" w:customStyle="1" w:styleId="67">
    <w:name w:val="gjfg"/>
    <w:basedOn w:val="21"/>
    <w:qFormat/>
    <w:uiPriority w:val="0"/>
  </w:style>
  <w:style w:type="character" w:customStyle="1" w:styleId="68">
    <w:name w:val="redfilefwwh"/>
    <w:basedOn w:val="21"/>
    <w:qFormat/>
    <w:uiPriority w:val="0"/>
    <w:rPr>
      <w:color w:val="BA2636"/>
      <w:sz w:val="12"/>
      <w:szCs w:val="12"/>
    </w:rPr>
  </w:style>
  <w:style w:type="character" w:customStyle="1" w:styleId="69">
    <w:name w:val="redfilenumber"/>
    <w:basedOn w:val="21"/>
    <w:qFormat/>
    <w:uiPriority w:val="0"/>
    <w:rPr>
      <w:color w:val="BA2636"/>
      <w:sz w:val="12"/>
      <w:szCs w:val="12"/>
    </w:rPr>
  </w:style>
  <w:style w:type="paragraph" w:customStyle="1" w:styleId="70">
    <w:name w:val="20、第五章“(一)”三级标题"/>
    <w:basedOn w:val="25"/>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styleId="71">
    <w:name w:val="List Paragraph"/>
    <w:basedOn w:val="1"/>
    <w:qFormat/>
    <w:uiPriority w:val="1"/>
    <w:pPr>
      <w:ind w:left="205" w:right="169" w:firstLine="655"/>
    </w:pPr>
    <w:rPr>
      <w:rFonts w:ascii="仿宋" w:hAnsi="仿宋" w:eastAsia="仿宋" w:cs="仿宋"/>
      <w:u w:val="single" w:color="000000"/>
      <w:lang w:val="zh-CN" w:eastAsia="zh-CN" w:bidi="zh-CN"/>
    </w:rPr>
  </w:style>
  <w:style w:type="paragraph" w:customStyle="1" w:styleId="7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3">
    <w:name w:val="样式 (西文) 宋体 自定义颜(RGB(131313)) 左侧:  0 厘米 行距: 固定值 22 磅 图案: 清除..."/>
    <w:basedOn w:val="1"/>
    <w:qFormat/>
    <w:uiPriority w:val="99"/>
    <w:pPr>
      <w:shd w:val="clear" w:color="auto" w:fill="FFFFFF"/>
      <w:spacing w:line="440" w:lineRule="exact"/>
      <w:ind w:left="0" w:firstLine="0" w:firstLineChars="0"/>
    </w:pPr>
    <w:rPr>
      <w:rFonts w:ascii="宋体" w:hAnsi="宋体" w:cs="宋体"/>
      <w:color w:val="0D0D0D"/>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106</Pages>
  <Words>63435</Words>
  <Characters>66385</Characters>
  <Lines>310</Lines>
  <Paragraphs>87</Paragraphs>
  <TotalTime>1</TotalTime>
  <ScaleCrop>false</ScaleCrop>
  <LinksUpToDate>false</LinksUpToDate>
  <CharactersWithSpaces>70608</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xiaod</cp:lastModifiedBy>
  <cp:lastPrinted>2018-12-21T06:52:00Z</cp:lastPrinted>
  <dcterms:modified xsi:type="dcterms:W3CDTF">2021-04-23T10:19:50Z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3A4332E9B99349FBA7CDA2EC18AEA1F2</vt:lpwstr>
  </property>
</Properties>
</file>